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bidi w:val="0"/>
        <w:spacing w:before="240" w:after="120"/>
        <w:rPr/>
      </w:pPr>
      <w:r>
        <w:rPr/>
        <w:t>Obec Semtěš</w:t>
        <w:br/>
        <w:t>Zastupitelstvo obce Semtěš</w:t>
      </w:r>
    </w:p>
    <w:p>
      <w:pPr>
        <w:pStyle w:val="Nadpis1"/>
        <w:bidi w:val="0"/>
        <w:rPr/>
      </w:pPr>
      <w:r>
        <w:rPr/>
        <w:t>Obecně závazná vyhláška obce Semtěš</w:t>
        <w:br/>
        <w:t>o místním poplatku za obecní systém odpadového hospodářství</w:t>
      </w:r>
    </w:p>
    <w:p>
      <w:pPr>
        <w:pStyle w:val="UvodniVeta"/>
        <w:bidi w:val="0"/>
        <w:rPr/>
      </w:pPr>
      <w:r>
        <w:rPr/>
        <w:t xml:space="preserve">Zastupitelstvo obce Semtěš se na svém zasedání dne </w:t>
      </w:r>
      <w:r>
        <w:rPr/>
        <w:t>11</w:t>
      </w:r>
      <w:r>
        <w:rPr/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Semtěš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bidi w:val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Poplatníkem poplatku je</w:t>
      </w:r>
      <w:r>
        <w:rPr>
          <w:rStyle w:val="Ukotvenpoznmkypodarou"/>
        </w:rPr>
        <w:footnoteReference w:id="4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fyzická osoba přihlášená v obci</w:t>
      </w:r>
      <w:r>
        <w:rPr>
          <w:rStyle w:val="Ukotvenpoznmkypodarou"/>
        </w:rPr>
        <w:footnoteReference w:id="5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bidi w:val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Sazba poplatku za kalendářní rok činí 950 Kč.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poplatník od poplatku osvobozen.</w:t>
      </w:r>
    </w:p>
    <w:p>
      <w:pPr>
        <w:pStyle w:val="Nadpis2"/>
        <w:bidi w:val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je splatný nejpozději do 30. června příslušného kalendářního roku.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bidi w:val="0"/>
        <w:rPr/>
      </w:pPr>
      <w:r>
        <w:rPr/>
        <w:t>Čl. 6</w:t>
        <w:br/>
        <w:t xml:space="preserve"> Osvobození a úlevy 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se osvobozuje osoba, které poplatková povinnost vznikla z důvodu přihlášení v obci a která: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má trvalý pobyt na adrese ohlašovny, Semtěš 17,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se po dobu delší než 10 měsíců v daném kalendářním roce nezdržuje na území obce Semtěš,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se narodila během příslušného kalendářního roku.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Úleva se poskytuje osobě, které poplatková povinnost vznikla z důvodu přihlášení v obci a která: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je nezaopatřeným dítětem ve věku do 15 let, ve výši 300 Kč,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je studentem ve věku 16 - 26 let, ve výši 300 Kč,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má trvalý pobyt na adrese Semtěš čp. 22, 24, 58, 64, 70, 708, 130, 137, není nezaopatřeným dítětem do 15 let a studentem do 26 let, z důvodu, že k těmto nemovitostem není zajištěn příjezd svozovými vozidly, ve výši 100 Kč.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Ukotvenpoznmkypodarou"/>
        </w:rPr>
        <w:footnoteReference w:id="10"/>
      </w:r>
      <w:r>
        <w:rPr/>
        <w:t>.</w:t>
      </w:r>
    </w:p>
    <w:p>
      <w:pPr>
        <w:pStyle w:val="Nadpis2"/>
        <w:bidi w:val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Zrušuje se obecně závazná vyhláška č. 1/2023, Obecně závazná vyhláška obce Semtěš o místním poplatku za obecní systém odpadového hospodářství, ze dne 19. prosince 2022.</w:t>
      </w:r>
    </w:p>
    <w:p>
      <w:pPr>
        <w:pStyle w:val="Nadpis2"/>
        <w:bidi w:val="0"/>
        <w:rPr/>
      </w:pPr>
      <w:r>
        <w:rPr/>
        <w:t>Čl. 8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2024.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Ing. Ilona Žaloudková v. r.</w:t>
              <w:br/>
              <w:t xml:space="preserve"> starostka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Tomáš Kareta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LibreOffice/7.2.2.2$Windows_X86_64 LibreOffice_project/02b2acce88a210515b4a5bb2e46cbfb63fe97d56</Application>
  <AppVersion>15.0000</AppVersion>
  <Pages>4</Pages>
  <Words>965</Words>
  <Characters>5150</Characters>
  <CharactersWithSpaces>6024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2023-12-13T07:40:37Z</dcterms:modified>
  <cp:revision>1</cp:revision>
  <dc:subject/>
  <dc:title/>
</cp:coreProperties>
</file>