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BF3" w:rsidRDefault="00BA015B">
      <w:pPr>
        <w:spacing w:after="121" w:line="259" w:lineRule="auto"/>
        <w:ind w:left="0" w:right="0" w:firstLine="0"/>
        <w:jc w:val="left"/>
      </w:pPr>
      <w:r>
        <w:rPr>
          <w:sz w:val="20"/>
        </w:rPr>
        <w:t xml:space="preserve">Č. j. SVS/2022/037215-S </w:t>
      </w:r>
    </w:p>
    <w:p w:rsidR="00492BF3" w:rsidRDefault="00BA015B">
      <w:pPr>
        <w:tabs>
          <w:tab w:val="right" w:pos="9316"/>
        </w:tabs>
        <w:spacing w:after="403" w:line="259" w:lineRule="auto"/>
        <w:ind w:left="0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noProof/>
        </w:rPr>
        <w:drawing>
          <wp:inline distT="0" distB="0" distL="0" distR="0">
            <wp:extent cx="1418590" cy="35814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BF3" w:rsidRPr="00BA015B" w:rsidRDefault="00BA015B">
      <w:pPr>
        <w:pStyle w:val="Nadpis1"/>
        <w:rPr>
          <w:sz w:val="28"/>
        </w:rPr>
      </w:pPr>
      <w:bookmarkStart w:id="0" w:name="_GoBack"/>
      <w:r w:rsidRPr="00BA015B">
        <w:rPr>
          <w:sz w:val="28"/>
        </w:rPr>
        <w:t xml:space="preserve">Nařízení Státní veterinární správy </w:t>
      </w:r>
      <w:r w:rsidRPr="00BA015B">
        <w:rPr>
          <w:sz w:val="28"/>
        </w:rPr>
        <w:t xml:space="preserve"> </w:t>
      </w:r>
    </w:p>
    <w:bookmarkEnd w:id="0"/>
    <w:p w:rsidR="00492BF3" w:rsidRPr="00C218AE" w:rsidRDefault="00BA015B">
      <w:pPr>
        <w:spacing w:after="20"/>
        <w:ind w:left="15" w:right="7" w:firstLine="571"/>
        <w:rPr>
          <w:sz w:val="22"/>
        </w:rPr>
      </w:pPr>
      <w:r w:rsidRPr="00C218AE">
        <w:rPr>
          <w:sz w:val="22"/>
        </w:rPr>
        <w:t xml:space="preserve">Krajská veterinární správa Státní veterinární správy pro Středočeský kraj jako místně a věcně příslušný správní orgán podle ustanovení § 49 odst. 1 písm. c) zák. č. 166/1999 Sb., o </w:t>
      </w:r>
      <w:r w:rsidRPr="00C218AE">
        <w:rPr>
          <w:sz w:val="22"/>
        </w:rPr>
        <w:t xml:space="preserve">veterinární péči a o změně některých souvisejících zákonů (veterinární zákon), ve znění pozdějších předpisů, v souladu s ustanovením § 75a odst. 1 a 2 veterinárního zákona nařizuje tato </w:t>
      </w:r>
    </w:p>
    <w:p w:rsidR="00492BF3" w:rsidRPr="00BA015B" w:rsidRDefault="00BA015B">
      <w:pPr>
        <w:pStyle w:val="Nadpis1"/>
        <w:spacing w:after="89"/>
        <w:ind w:right="35"/>
        <w:rPr>
          <w:sz w:val="28"/>
        </w:rPr>
      </w:pPr>
      <w:r w:rsidRPr="00BA015B">
        <w:rPr>
          <w:sz w:val="28"/>
        </w:rPr>
        <w:t xml:space="preserve">mimořádná veterinární opatření </w:t>
      </w:r>
    </w:p>
    <w:p w:rsidR="00492BF3" w:rsidRPr="00C218AE" w:rsidRDefault="00BA015B">
      <w:pPr>
        <w:spacing w:after="11"/>
        <w:ind w:left="1277" w:right="7" w:hanging="1262"/>
        <w:rPr>
          <w:sz w:val="22"/>
        </w:rPr>
      </w:pPr>
      <w:r w:rsidRPr="00C218AE">
        <w:rPr>
          <w:sz w:val="22"/>
        </w:rPr>
        <w:t xml:space="preserve">      z důvodu výskytu tularémie zají</w:t>
      </w:r>
      <w:r w:rsidRPr="00C218AE">
        <w:rPr>
          <w:sz w:val="22"/>
        </w:rPr>
        <w:t xml:space="preserve">ců v katastru obce Velenka (č. k. </w:t>
      </w:r>
      <w:proofErr w:type="spellStart"/>
      <w:r w:rsidRPr="00C218AE">
        <w:rPr>
          <w:sz w:val="22"/>
        </w:rPr>
        <w:t>ú.</w:t>
      </w:r>
      <w:proofErr w:type="spellEnd"/>
      <w:r w:rsidRPr="00C218AE">
        <w:rPr>
          <w:sz w:val="22"/>
        </w:rPr>
        <w:t xml:space="preserve"> 777781)  s platností pro tato katastrální území obce v okrese Nymburk ve středočeském kraji: </w:t>
      </w:r>
    </w:p>
    <w:tbl>
      <w:tblPr>
        <w:tblStyle w:val="TableGrid"/>
        <w:tblW w:w="6804" w:type="dxa"/>
        <w:tblInd w:w="1134" w:type="dxa"/>
        <w:tblCellMar>
          <w:top w:w="6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10"/>
        <w:gridCol w:w="3394"/>
      </w:tblGrid>
      <w:tr w:rsidR="00492BF3" w:rsidRPr="00C218AE">
        <w:trPr>
          <w:trHeight w:val="376"/>
        </w:trPr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BF3" w:rsidRPr="00C218AE" w:rsidRDefault="00BA015B">
            <w:pPr>
              <w:spacing w:after="0" w:line="259" w:lineRule="auto"/>
              <w:ind w:left="0" w:right="8" w:firstLine="0"/>
              <w:jc w:val="center"/>
              <w:rPr>
                <w:sz w:val="22"/>
              </w:rPr>
            </w:pPr>
            <w:r w:rsidRPr="00C218AE">
              <w:rPr>
                <w:b/>
                <w:sz w:val="22"/>
              </w:rPr>
              <w:t>Název katastrálního území</w:t>
            </w:r>
            <w:r w:rsidRPr="00C218AE">
              <w:rPr>
                <w:sz w:val="22"/>
              </w:rPr>
              <w:t xml:space="preserve"> 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BF3" w:rsidRPr="00C218AE" w:rsidRDefault="00BA015B">
            <w:pPr>
              <w:spacing w:after="0" w:line="259" w:lineRule="auto"/>
              <w:ind w:left="0" w:right="27" w:firstLine="0"/>
              <w:jc w:val="center"/>
              <w:rPr>
                <w:sz w:val="22"/>
              </w:rPr>
            </w:pPr>
            <w:r w:rsidRPr="00C218AE">
              <w:rPr>
                <w:b/>
                <w:sz w:val="22"/>
              </w:rPr>
              <w:t>Číslo katastrálního území</w:t>
            </w:r>
            <w:r w:rsidRPr="00C218AE">
              <w:rPr>
                <w:sz w:val="22"/>
              </w:rPr>
              <w:t xml:space="preserve"> </w:t>
            </w:r>
          </w:p>
        </w:tc>
      </w:tr>
      <w:tr w:rsidR="00492BF3" w:rsidRPr="00C218AE">
        <w:trPr>
          <w:trHeight w:val="285"/>
        </w:trPr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BF3" w:rsidRPr="00C218AE" w:rsidRDefault="00BA015B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C218AE">
              <w:rPr>
                <w:sz w:val="22"/>
              </w:rPr>
              <w:t xml:space="preserve">Velenka 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BF3" w:rsidRPr="00C218AE" w:rsidRDefault="00BA015B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C218AE">
              <w:rPr>
                <w:sz w:val="22"/>
              </w:rPr>
              <w:t xml:space="preserve">777781 </w:t>
            </w:r>
          </w:p>
        </w:tc>
      </w:tr>
      <w:tr w:rsidR="00492BF3" w:rsidRPr="00C218AE">
        <w:trPr>
          <w:trHeight w:val="271"/>
        </w:trPr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BF3" w:rsidRPr="00C218AE" w:rsidRDefault="00BA015B">
            <w:pPr>
              <w:spacing w:after="0" w:line="259" w:lineRule="auto"/>
              <w:ind w:left="0" w:right="11" w:firstLine="0"/>
              <w:jc w:val="center"/>
              <w:rPr>
                <w:sz w:val="22"/>
              </w:rPr>
            </w:pPr>
            <w:r w:rsidRPr="00C218AE">
              <w:rPr>
                <w:sz w:val="22"/>
              </w:rPr>
              <w:t xml:space="preserve">Starý Vestec 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BF3" w:rsidRPr="00C218AE" w:rsidRDefault="00BA015B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C218AE">
              <w:rPr>
                <w:sz w:val="22"/>
              </w:rPr>
              <w:t xml:space="preserve">755231 </w:t>
            </w:r>
          </w:p>
        </w:tc>
      </w:tr>
    </w:tbl>
    <w:p w:rsidR="00492BF3" w:rsidRPr="00C218AE" w:rsidRDefault="00BA015B" w:rsidP="00C218AE">
      <w:pPr>
        <w:spacing w:before="120" w:after="132" w:line="259" w:lineRule="auto"/>
        <w:ind w:right="227"/>
        <w:jc w:val="center"/>
        <w:rPr>
          <w:sz w:val="22"/>
        </w:rPr>
      </w:pPr>
      <w:r w:rsidRPr="00C218AE">
        <w:rPr>
          <w:sz w:val="22"/>
        </w:rPr>
        <w:t xml:space="preserve">Čl. 1   </w:t>
      </w:r>
    </w:p>
    <w:p w:rsidR="00492BF3" w:rsidRPr="00C218AE" w:rsidRDefault="00BA015B">
      <w:pPr>
        <w:pStyle w:val="Nadpis2"/>
        <w:ind w:left="23" w:right="32"/>
        <w:rPr>
          <w:sz w:val="22"/>
        </w:rPr>
      </w:pPr>
      <w:r w:rsidRPr="00C218AE">
        <w:rPr>
          <w:sz w:val="22"/>
        </w:rPr>
        <w:t xml:space="preserve">Obecná ustanovení </w:t>
      </w:r>
    </w:p>
    <w:p w:rsidR="00492BF3" w:rsidRPr="00C218AE" w:rsidRDefault="00BA015B">
      <w:pPr>
        <w:spacing w:after="200"/>
        <w:ind w:left="25" w:right="7"/>
        <w:rPr>
          <w:sz w:val="22"/>
        </w:rPr>
      </w:pPr>
      <w:r w:rsidRPr="00C218AE">
        <w:rPr>
          <w:sz w:val="22"/>
        </w:rPr>
        <w:t xml:space="preserve"> </w:t>
      </w:r>
      <w:r w:rsidRPr="00C218AE">
        <w:rPr>
          <w:sz w:val="22"/>
        </w:rPr>
        <w:t xml:space="preserve">V souvislosti s výskytem tularémie zajíců v katastru obce Velenka (č. k. </w:t>
      </w:r>
      <w:proofErr w:type="spellStart"/>
      <w:r w:rsidRPr="00C218AE">
        <w:rPr>
          <w:sz w:val="22"/>
        </w:rPr>
        <w:t>ú.</w:t>
      </w:r>
      <w:proofErr w:type="spellEnd"/>
      <w:r w:rsidRPr="00C218AE">
        <w:rPr>
          <w:sz w:val="22"/>
        </w:rPr>
        <w:t xml:space="preserve"> 777781) nařizuje KVS SVS pro Středočeský kraj mimořádná veterinární opatření k prevenci a tlumení tularémie zajíců, kterými vymezuje ochranné pásmo ve výše jmenovaných katastrálníc</w:t>
      </w:r>
      <w:r w:rsidRPr="00C218AE">
        <w:rPr>
          <w:sz w:val="22"/>
        </w:rPr>
        <w:t>h území obcí. Ohniskem nebezpečné nákazy tularémie zajíců se stanovuje kruhové území o poloměru 1 km kolem místa nálezu uhynulého zajíce polního v blízkosti obce Velenka v okrese Nymburk. Uhynulý zajíc byl odeslán k laboratornímu došetření do SVÚ Praha. La</w:t>
      </w:r>
      <w:r w:rsidRPr="00C218AE">
        <w:rPr>
          <w:sz w:val="22"/>
        </w:rPr>
        <w:t xml:space="preserve">boratorním vyšetřením vzorků tkání uhynulého zajíce (kultivačně a metodou PCR) byl prokázán pozitivní záchyt původce tohoto onemocnění </w:t>
      </w:r>
      <w:proofErr w:type="spellStart"/>
      <w:r w:rsidRPr="00C218AE">
        <w:rPr>
          <w:sz w:val="22"/>
        </w:rPr>
        <w:t>Francisella</w:t>
      </w:r>
      <w:proofErr w:type="spellEnd"/>
      <w:r w:rsidRPr="00C218AE">
        <w:rPr>
          <w:sz w:val="22"/>
        </w:rPr>
        <w:t xml:space="preserve"> </w:t>
      </w:r>
      <w:proofErr w:type="spellStart"/>
      <w:r w:rsidRPr="00C218AE">
        <w:rPr>
          <w:sz w:val="22"/>
        </w:rPr>
        <w:t>tularensis</w:t>
      </w:r>
      <w:proofErr w:type="spellEnd"/>
      <w:r w:rsidRPr="00C218AE">
        <w:rPr>
          <w:sz w:val="22"/>
        </w:rPr>
        <w:t xml:space="preserve"> (SVÚ Praha, číslo laboratorního protokolu PA 299 / 22 ze dne 7.3.2022). </w:t>
      </w:r>
    </w:p>
    <w:p w:rsidR="00492BF3" w:rsidRDefault="00BA015B">
      <w:pPr>
        <w:spacing w:after="132" w:line="259" w:lineRule="auto"/>
        <w:ind w:right="227"/>
        <w:jc w:val="center"/>
      </w:pPr>
      <w:r>
        <w:rPr>
          <w:sz w:val="20"/>
        </w:rPr>
        <w:t xml:space="preserve">Čl. 2 </w:t>
      </w:r>
    </w:p>
    <w:p w:rsidR="00492BF3" w:rsidRPr="00C218AE" w:rsidRDefault="00BA015B">
      <w:pPr>
        <w:pStyle w:val="Nadpis2"/>
        <w:spacing w:after="231"/>
        <w:ind w:left="23" w:right="43"/>
        <w:rPr>
          <w:sz w:val="22"/>
        </w:rPr>
      </w:pPr>
      <w:r w:rsidRPr="00C218AE">
        <w:rPr>
          <w:sz w:val="22"/>
        </w:rPr>
        <w:t xml:space="preserve">Ochranná a </w:t>
      </w:r>
      <w:proofErr w:type="spellStart"/>
      <w:r w:rsidRPr="00C218AE">
        <w:rPr>
          <w:sz w:val="22"/>
        </w:rPr>
        <w:t>zdoláva</w:t>
      </w:r>
      <w:r w:rsidRPr="00C218AE">
        <w:rPr>
          <w:sz w:val="22"/>
        </w:rPr>
        <w:t>cí</w:t>
      </w:r>
      <w:proofErr w:type="spellEnd"/>
      <w:r w:rsidRPr="00C218AE">
        <w:rPr>
          <w:sz w:val="22"/>
        </w:rPr>
        <w:t xml:space="preserve"> opatření v ohnisku a v ochranném pásmu</w:t>
      </w:r>
      <w:r w:rsidRPr="00C218AE">
        <w:rPr>
          <w:sz w:val="22"/>
        </w:rPr>
        <w:t xml:space="preserve"> </w:t>
      </w:r>
    </w:p>
    <w:p w:rsidR="00492BF3" w:rsidRPr="00C218AE" w:rsidRDefault="00BA015B">
      <w:pPr>
        <w:spacing w:after="140"/>
        <w:ind w:left="15" w:right="7" w:firstLine="706"/>
        <w:rPr>
          <w:sz w:val="22"/>
        </w:rPr>
      </w:pPr>
      <w:r w:rsidRPr="00C218AE">
        <w:rPr>
          <w:sz w:val="22"/>
        </w:rPr>
        <w:t>Všem uživatelům honiteb provozujícím právo myslivosti, podle zákona č.449/2001 Sb., o myslivosti, ve znění pozdějších předpisů, na honebních pozemcích katastrálních území výše jmenovaných obcí  a jejich myslivecký</w:t>
      </w:r>
      <w:r w:rsidRPr="00C218AE">
        <w:rPr>
          <w:sz w:val="22"/>
        </w:rPr>
        <w:t xml:space="preserve">m hospodářům ustanoveným místně příslušným orgánem státní správy myslivosti se nařizuje:   </w:t>
      </w:r>
    </w:p>
    <w:p w:rsidR="00492BF3" w:rsidRPr="00C218AE" w:rsidRDefault="00BA015B">
      <w:pPr>
        <w:numPr>
          <w:ilvl w:val="0"/>
          <w:numId w:val="1"/>
        </w:numPr>
        <w:ind w:left="572" w:right="7" w:hanging="436"/>
        <w:rPr>
          <w:sz w:val="22"/>
        </w:rPr>
      </w:pPr>
      <w:r w:rsidRPr="00C218AE">
        <w:rPr>
          <w:sz w:val="22"/>
        </w:rPr>
        <w:t xml:space="preserve">Zákaz uvolňování zajíců odlovených v ohnisku a v ochranném pásmu do oběhu.   </w:t>
      </w:r>
    </w:p>
    <w:p w:rsidR="00492BF3" w:rsidRPr="00C218AE" w:rsidRDefault="00BA015B">
      <w:pPr>
        <w:numPr>
          <w:ilvl w:val="0"/>
          <w:numId w:val="1"/>
        </w:numPr>
        <w:ind w:left="572" w:right="7" w:hanging="436"/>
        <w:rPr>
          <w:sz w:val="22"/>
        </w:rPr>
      </w:pPr>
      <w:r w:rsidRPr="00C218AE">
        <w:rPr>
          <w:sz w:val="22"/>
        </w:rPr>
        <w:t>Z ohniska a ochranného pásma je možno povolit uvolnění zajíců ke spotřebě v domácnosti</w:t>
      </w:r>
      <w:r w:rsidRPr="00C218AE">
        <w:rPr>
          <w:sz w:val="22"/>
        </w:rPr>
        <w:t xml:space="preserve"> lovce i bez provedeného laboratorního vyšetření za podmínky, že je lovci předáno písemné poučení  o bezpečném zacházení při zpracování zvěřiny, a je konzumováno po důkladné tepelné úpravě při nejméně 70° C po dobu nejméně 10 minut v jádře pokrmu.  </w:t>
      </w:r>
    </w:p>
    <w:p w:rsidR="00492BF3" w:rsidRPr="00C218AE" w:rsidRDefault="00BA015B">
      <w:pPr>
        <w:numPr>
          <w:ilvl w:val="0"/>
          <w:numId w:val="1"/>
        </w:numPr>
        <w:ind w:left="572" w:right="7" w:hanging="436"/>
        <w:rPr>
          <w:sz w:val="22"/>
        </w:rPr>
      </w:pPr>
      <w:r w:rsidRPr="00C218AE">
        <w:rPr>
          <w:sz w:val="22"/>
        </w:rPr>
        <w:t xml:space="preserve">Zákaz </w:t>
      </w:r>
      <w:r w:rsidRPr="00C218AE">
        <w:rPr>
          <w:sz w:val="22"/>
        </w:rPr>
        <w:t xml:space="preserve">odchytu zajíců v ohnisku a ochranném pásmu.   </w:t>
      </w:r>
    </w:p>
    <w:p w:rsidR="00492BF3" w:rsidRPr="00C218AE" w:rsidRDefault="00BA015B">
      <w:pPr>
        <w:numPr>
          <w:ilvl w:val="0"/>
          <w:numId w:val="1"/>
        </w:numPr>
        <w:ind w:left="572" w:right="7" w:hanging="436"/>
        <w:rPr>
          <w:sz w:val="22"/>
        </w:rPr>
      </w:pPr>
      <w:r w:rsidRPr="00C218AE">
        <w:rPr>
          <w:sz w:val="22"/>
        </w:rPr>
        <w:t xml:space="preserve">Ve spolupráci s KVS SVS pro Středočeský kraj – pracovištěm Poděbrady (Východní 1109/10, 29001, Poděbrady, </w:t>
      </w:r>
      <w:r w:rsidRPr="00C218AE">
        <w:rPr>
          <w:sz w:val="22"/>
        </w:rPr>
        <w:t>+420 325 625 610</w:t>
      </w:r>
      <w:r w:rsidRPr="00C218AE">
        <w:rPr>
          <w:sz w:val="22"/>
        </w:rPr>
        <w:t>), zabezpečit odevzdání a následné laboratorní vyšetření všech dohledaných uhynulých ku</w:t>
      </w:r>
      <w:r w:rsidRPr="00C218AE">
        <w:rPr>
          <w:sz w:val="22"/>
        </w:rPr>
        <w:t xml:space="preserve">sů zaječí zvěře v akreditované laboratoři, a taktéž zajíců odlovených, kteří před ulovením vykazovali klinické příznaky onemocnění nebo změnu přirozeného chování. Nalezené </w:t>
      </w:r>
      <w:proofErr w:type="spellStart"/>
      <w:r w:rsidRPr="00C218AE">
        <w:rPr>
          <w:sz w:val="22"/>
        </w:rPr>
        <w:t>kadávery</w:t>
      </w:r>
      <w:proofErr w:type="spellEnd"/>
      <w:r w:rsidRPr="00C218AE">
        <w:rPr>
          <w:sz w:val="22"/>
        </w:rPr>
        <w:t xml:space="preserve"> zajíců v pokročilém </w:t>
      </w:r>
      <w:r w:rsidRPr="00C218AE">
        <w:rPr>
          <w:sz w:val="22"/>
        </w:rPr>
        <w:lastRenderedPageBreak/>
        <w:t>stádiu rozkladu, které jsou naprosto nevhodné pro účely</w:t>
      </w:r>
      <w:r w:rsidRPr="00C218AE">
        <w:rPr>
          <w:sz w:val="22"/>
        </w:rPr>
        <w:t xml:space="preserve"> laboratorního vyšetření, je třeba neprodleně a neškodným způsobem odstranit.   </w:t>
      </w:r>
    </w:p>
    <w:p w:rsidR="00492BF3" w:rsidRPr="00C218AE" w:rsidRDefault="00BA015B">
      <w:pPr>
        <w:spacing w:after="253" w:line="259" w:lineRule="auto"/>
        <w:ind w:right="227"/>
        <w:jc w:val="center"/>
        <w:rPr>
          <w:sz w:val="22"/>
        </w:rPr>
      </w:pPr>
      <w:r w:rsidRPr="00C218AE">
        <w:rPr>
          <w:sz w:val="22"/>
        </w:rPr>
        <w:t xml:space="preserve">Čl. 3 </w:t>
      </w:r>
    </w:p>
    <w:p w:rsidR="00492BF3" w:rsidRPr="00C218AE" w:rsidRDefault="00BA015B">
      <w:pPr>
        <w:pStyle w:val="Nadpis2"/>
        <w:spacing w:after="232"/>
        <w:ind w:left="23" w:right="17"/>
        <w:rPr>
          <w:sz w:val="22"/>
        </w:rPr>
      </w:pPr>
      <w:r w:rsidRPr="00C218AE">
        <w:rPr>
          <w:sz w:val="22"/>
        </w:rPr>
        <w:t>Ostatní ustanovení</w:t>
      </w:r>
      <w:r w:rsidRPr="00C218AE">
        <w:rPr>
          <w:sz w:val="22"/>
        </w:rPr>
        <w:t xml:space="preserve"> </w:t>
      </w:r>
    </w:p>
    <w:p w:rsidR="00492BF3" w:rsidRPr="00C218AE" w:rsidRDefault="00BA015B">
      <w:pPr>
        <w:numPr>
          <w:ilvl w:val="0"/>
          <w:numId w:val="2"/>
        </w:numPr>
        <w:spacing w:after="187"/>
        <w:ind w:right="7" w:hanging="421"/>
        <w:rPr>
          <w:sz w:val="22"/>
        </w:rPr>
      </w:pPr>
      <w:r w:rsidRPr="00C218AE">
        <w:rPr>
          <w:sz w:val="22"/>
        </w:rPr>
        <w:t xml:space="preserve">Uživatelům honiteb v ohnisku a v ochranném pásmu se doporučuje vyšetřování ulovených zajíců rychlou sklíčkovou aglutinací (RA) prostřednictvím soukromého veterinárního lékaře.   </w:t>
      </w:r>
    </w:p>
    <w:p w:rsidR="00492BF3" w:rsidRPr="00C218AE" w:rsidRDefault="00BA015B">
      <w:pPr>
        <w:numPr>
          <w:ilvl w:val="0"/>
          <w:numId w:val="2"/>
        </w:numPr>
        <w:spacing w:after="170"/>
        <w:ind w:right="7" w:hanging="421"/>
        <w:rPr>
          <w:sz w:val="22"/>
        </w:rPr>
      </w:pPr>
      <w:r w:rsidRPr="00C218AE">
        <w:rPr>
          <w:sz w:val="22"/>
        </w:rPr>
        <w:t>Uživatelé příslušných honiteb, prostřednictvím svých mysliveckých hospodářů n</w:t>
      </w:r>
      <w:r w:rsidRPr="00C218AE">
        <w:rPr>
          <w:sz w:val="22"/>
        </w:rPr>
        <w:t xml:space="preserve">ebo určených odpovědných osob zajistí řádnou evidenci odlovených zajíců v ohnisku a ochranném pásmu a evidenci výsledků vyšetření na tularémii.   </w:t>
      </w:r>
    </w:p>
    <w:p w:rsidR="00492BF3" w:rsidRPr="00C218AE" w:rsidRDefault="00BA015B">
      <w:pPr>
        <w:numPr>
          <w:ilvl w:val="0"/>
          <w:numId w:val="2"/>
        </w:numPr>
        <w:spacing w:after="185"/>
        <w:ind w:right="7" w:hanging="421"/>
        <w:rPr>
          <w:sz w:val="22"/>
        </w:rPr>
      </w:pPr>
      <w:r w:rsidRPr="00C218AE">
        <w:rPr>
          <w:sz w:val="22"/>
        </w:rPr>
        <w:t>Při práci a manipulaci se zaječí zvěří nebo zvěřinou je nezbytně nutné přísné dodržování pravidel osobní hygi</w:t>
      </w:r>
      <w:r w:rsidRPr="00C218AE">
        <w:rPr>
          <w:sz w:val="22"/>
        </w:rPr>
        <w:t>eny, používání individuálních ochranných pomůcek (jako jsou gumové rukavice, příp. pracovní oděv a obuv apod.), nejíst, nepít, nekouřit a po skončení práce provést důkladné omytí  a dezinfekci rukou vhodným dezinfekčním prostředkem – např. 1% roztokem chlo</w:t>
      </w:r>
      <w:r w:rsidRPr="00C218AE">
        <w:rPr>
          <w:sz w:val="22"/>
        </w:rPr>
        <w:t xml:space="preserve">raminu. Dezinfikovány musí být i všechny předměty, pomůcky a zařízení, které přišly do kontaktu s uhynulými, odlovenými nebo utracenými zajíci – nejlépe 3% roztokem chloraminu.   </w:t>
      </w:r>
    </w:p>
    <w:p w:rsidR="00492BF3" w:rsidRPr="00C218AE" w:rsidRDefault="00BA015B">
      <w:pPr>
        <w:numPr>
          <w:ilvl w:val="0"/>
          <w:numId w:val="2"/>
        </w:numPr>
        <w:spacing w:after="170"/>
        <w:ind w:right="7" w:hanging="421"/>
        <w:rPr>
          <w:sz w:val="22"/>
        </w:rPr>
      </w:pPr>
      <w:r w:rsidRPr="00C218AE">
        <w:rPr>
          <w:sz w:val="22"/>
        </w:rPr>
        <w:t xml:space="preserve">Veřejnosti se při nálezu uhynulých zajíců nebo zajíců sražených automobilem </w:t>
      </w:r>
      <w:r w:rsidRPr="00C218AE">
        <w:rPr>
          <w:sz w:val="22"/>
        </w:rPr>
        <w:t>na silnici doporučuje, vyhnout se pokud možno jakékoli manipulaci s tímto podezřelým materiálem a nález raději ohlásit nejlépe mysliveckému hospodáři příslušné honitby, příp. na nejbližší místně příslušný obecní úřad. Často se vyskytujícím příkladem riziko</w:t>
      </w:r>
      <w:r w:rsidRPr="00C218AE">
        <w:rPr>
          <w:sz w:val="22"/>
        </w:rPr>
        <w:t xml:space="preserve">vého chování při takovém nálezu totiž bývá přímý kontakt holýma rukama při manipulaci s </w:t>
      </w:r>
      <w:proofErr w:type="spellStart"/>
      <w:r w:rsidRPr="00C218AE">
        <w:rPr>
          <w:sz w:val="22"/>
        </w:rPr>
        <w:t>kadáverem</w:t>
      </w:r>
      <w:proofErr w:type="spellEnd"/>
      <w:r w:rsidRPr="00C218AE">
        <w:rPr>
          <w:sz w:val="22"/>
        </w:rPr>
        <w:t xml:space="preserve"> nebo se sraženou zaječí zvěří při jejím následném stahování, porcování apod. V případě podezření z přenosu onemocnění na člověka, je třeba neprodleně vyhledat</w:t>
      </w:r>
      <w:r w:rsidRPr="00C218AE">
        <w:rPr>
          <w:sz w:val="22"/>
        </w:rPr>
        <w:t xml:space="preserve"> lékaře a podat mu informaci o kontaktu s podezřelým zvířetem.   </w:t>
      </w:r>
    </w:p>
    <w:p w:rsidR="00492BF3" w:rsidRPr="00C218AE" w:rsidRDefault="00BA015B">
      <w:pPr>
        <w:numPr>
          <w:ilvl w:val="0"/>
          <w:numId w:val="2"/>
        </w:numPr>
        <w:spacing w:after="440"/>
        <w:ind w:right="7" w:hanging="421"/>
        <w:rPr>
          <w:sz w:val="22"/>
        </w:rPr>
      </w:pPr>
      <w:r w:rsidRPr="00C218AE">
        <w:rPr>
          <w:sz w:val="22"/>
        </w:rPr>
        <w:t>Pokud uživatelé honiteb uvedení v Čl.2.neprovádí odlov nebo odchyt zajíců z důvodů platného zákazu daného legislativou ČR, považují se ustanovení Čl.2.odst.(1), (2), (3) a (4) a Čl.3. odst.(</w:t>
      </w:r>
      <w:r w:rsidRPr="00C218AE">
        <w:rPr>
          <w:sz w:val="22"/>
        </w:rPr>
        <w:t xml:space="preserve">1) a (2) za bezpředmětná. Zásady bezpečné manipulace s uhynulými zajíci zůstávají ve všech ustanoveních nedotčeny </w:t>
      </w:r>
    </w:p>
    <w:p w:rsidR="00492BF3" w:rsidRPr="00C218AE" w:rsidRDefault="00BA015B">
      <w:pPr>
        <w:spacing w:after="132" w:line="259" w:lineRule="auto"/>
        <w:ind w:right="227"/>
        <w:jc w:val="center"/>
        <w:rPr>
          <w:sz w:val="22"/>
        </w:rPr>
      </w:pPr>
      <w:r w:rsidRPr="00C218AE">
        <w:rPr>
          <w:sz w:val="22"/>
        </w:rPr>
        <w:t xml:space="preserve">Čl. 4 </w:t>
      </w:r>
    </w:p>
    <w:p w:rsidR="00492BF3" w:rsidRPr="00C218AE" w:rsidRDefault="00BA015B">
      <w:pPr>
        <w:pStyle w:val="Nadpis2"/>
        <w:ind w:left="23" w:right="29"/>
        <w:rPr>
          <w:sz w:val="22"/>
        </w:rPr>
      </w:pPr>
      <w:r w:rsidRPr="00C218AE">
        <w:rPr>
          <w:sz w:val="22"/>
        </w:rPr>
        <w:t xml:space="preserve">Poučení o nákaze </w:t>
      </w:r>
    </w:p>
    <w:p w:rsidR="00492BF3" w:rsidRPr="00C218AE" w:rsidRDefault="00BA015B">
      <w:pPr>
        <w:ind w:left="15" w:right="7" w:firstLine="706"/>
        <w:rPr>
          <w:sz w:val="22"/>
        </w:rPr>
      </w:pPr>
      <w:r w:rsidRPr="00C218AE">
        <w:rPr>
          <w:sz w:val="22"/>
        </w:rPr>
        <w:t>Tularemie je nakažlivé bakteriální onemocnění, které postihuje především zajíce, hlodavce a je přenosné na ostatní v</w:t>
      </w:r>
      <w:r w:rsidRPr="00C218AE">
        <w:rPr>
          <w:sz w:val="22"/>
        </w:rPr>
        <w:t xml:space="preserve">olně žijící i domácí zvířata a na člověka. Postižení zajíci ztrácejí plachost, potácejí se při pohybu, jsou malátní, mají zježenou srst a dají se snadno chytit. U ostatních zvířat nejsou příznaky typické. Tularemie je nákaza s přírodní </w:t>
      </w:r>
      <w:proofErr w:type="spellStart"/>
      <w:r w:rsidRPr="00C218AE">
        <w:rPr>
          <w:sz w:val="22"/>
        </w:rPr>
        <w:t>ohniskovostí</w:t>
      </w:r>
      <w:proofErr w:type="spellEnd"/>
      <w:r w:rsidRPr="00C218AE">
        <w:rPr>
          <w:sz w:val="22"/>
        </w:rPr>
        <w:t xml:space="preserve"> a její </w:t>
      </w:r>
      <w:r w:rsidRPr="00C218AE">
        <w:rPr>
          <w:sz w:val="22"/>
        </w:rPr>
        <w:t>výskyt v přírodě je dán především existencí infikovaných hlodavců, kteří jsou zdrojem nákazy a členovců sajících krev (komáři, mouchy, blechy, ovádi, klíšťata), působících jako přenašeči původce onemocnění. K infekci dochází přes dýchací ústrojí, trávicí ú</w:t>
      </w:r>
      <w:r w:rsidRPr="00C218AE">
        <w:rPr>
          <w:sz w:val="22"/>
        </w:rPr>
        <w:t xml:space="preserve">strojí, spojivkou nebo kůží. Člověk se nejčastěji nakazí přímým kontaktem s nemocnými nebo uhynulými zvířaty, požitím kontaminovaných zemědělských nebo potravinářských produktů (např. maso nemocné zvěře, zelenina ve sklepě), kontaminovanou vodou (studánky </w:t>
      </w:r>
      <w:r w:rsidRPr="00C218AE">
        <w:rPr>
          <w:sz w:val="22"/>
        </w:rPr>
        <w:t xml:space="preserve">v přírodě) či po štípnutí infikovaným hmyzem. U člověka se tularemie vyskytuje v několika formách, v závislosti na cestách proniknutí původce onemocnění do organizmu. Může probíhat jako celkové onemocnění s vysokými teplotami, zvětšením sleziny po pozření </w:t>
      </w:r>
      <w:r w:rsidRPr="00C218AE">
        <w:rPr>
          <w:sz w:val="22"/>
        </w:rPr>
        <w:t>kontaminované potraviny nebo vody či atypickým zápalem plic po vdechnutí původce nemoci. Po infekci poraněnou kůží nebo spojivkou vznikají vředovité změny  na kůži v místě poranění, vřídky na spojivce, případně zhnisání příslušných mízních uzlin. Onemocněn</w:t>
      </w:r>
      <w:r w:rsidRPr="00C218AE">
        <w:rPr>
          <w:sz w:val="22"/>
        </w:rPr>
        <w:t xml:space="preserve">í není přenosné mezi lidmi. </w:t>
      </w:r>
    </w:p>
    <w:p w:rsidR="00492BF3" w:rsidRPr="00C218AE" w:rsidRDefault="00BA015B">
      <w:pPr>
        <w:spacing w:after="132" w:line="259" w:lineRule="auto"/>
        <w:ind w:right="227"/>
        <w:jc w:val="center"/>
        <w:rPr>
          <w:sz w:val="22"/>
        </w:rPr>
      </w:pPr>
      <w:r w:rsidRPr="00C218AE">
        <w:rPr>
          <w:sz w:val="22"/>
        </w:rPr>
        <w:lastRenderedPageBreak/>
        <w:t xml:space="preserve">Čl. 5 </w:t>
      </w:r>
    </w:p>
    <w:p w:rsidR="00492BF3" w:rsidRPr="00C218AE" w:rsidRDefault="00BA015B">
      <w:pPr>
        <w:pStyle w:val="Nadpis2"/>
        <w:ind w:left="23" w:right="0"/>
        <w:rPr>
          <w:sz w:val="22"/>
        </w:rPr>
      </w:pPr>
      <w:r w:rsidRPr="00C218AE">
        <w:rPr>
          <w:sz w:val="22"/>
        </w:rPr>
        <w:t xml:space="preserve">Zdolávání nákazy  </w:t>
      </w:r>
    </w:p>
    <w:p w:rsidR="00492BF3" w:rsidRPr="00C218AE" w:rsidRDefault="00BA015B">
      <w:pPr>
        <w:spacing w:after="78"/>
        <w:ind w:left="15" w:right="7" w:firstLine="706"/>
        <w:rPr>
          <w:sz w:val="22"/>
        </w:rPr>
      </w:pPr>
      <w:r w:rsidRPr="00C218AE">
        <w:rPr>
          <w:sz w:val="22"/>
        </w:rPr>
        <w:t>Krajská veterinární správa Státní veterinární správy pro Středočeský kraj vyhlašuje ohnisko na dobu nejméně tří měsíců. Ohnisko a ochranné pásmo se zruší po uplynutí pozorovací doby, během které se vyšetřují uhynulí zajíci, případně ulovení zajíci na zákla</w:t>
      </w:r>
      <w:r w:rsidRPr="00C218AE">
        <w:rPr>
          <w:sz w:val="22"/>
        </w:rPr>
        <w:t xml:space="preserve">dě podezření z nákazy a pokud v této době nebude potvrzen další výskyt zajíce s pozitivním bakteriologickým vyšetřením. </w:t>
      </w:r>
    </w:p>
    <w:p w:rsidR="00492BF3" w:rsidRPr="00C218AE" w:rsidRDefault="00BA015B">
      <w:pPr>
        <w:spacing w:after="163" w:line="259" w:lineRule="auto"/>
        <w:ind w:right="227"/>
        <w:jc w:val="center"/>
        <w:rPr>
          <w:sz w:val="22"/>
        </w:rPr>
      </w:pPr>
      <w:r w:rsidRPr="00C218AE">
        <w:rPr>
          <w:sz w:val="22"/>
        </w:rPr>
        <w:t xml:space="preserve">Čl. 6 </w:t>
      </w:r>
    </w:p>
    <w:p w:rsidR="00492BF3" w:rsidRPr="00C218AE" w:rsidRDefault="00BA015B">
      <w:pPr>
        <w:pStyle w:val="Nadpis1"/>
        <w:ind w:right="134"/>
        <w:rPr>
          <w:sz w:val="22"/>
        </w:rPr>
      </w:pPr>
      <w:r w:rsidRPr="00C218AE">
        <w:rPr>
          <w:sz w:val="22"/>
        </w:rPr>
        <w:t xml:space="preserve">Sankce </w:t>
      </w:r>
    </w:p>
    <w:p w:rsidR="00492BF3" w:rsidRPr="00C218AE" w:rsidRDefault="00BA015B">
      <w:pPr>
        <w:ind w:left="15" w:right="7" w:firstLine="571"/>
        <w:rPr>
          <w:sz w:val="22"/>
        </w:rPr>
      </w:pPr>
      <w:r w:rsidRPr="00C218AE">
        <w:rPr>
          <w:sz w:val="22"/>
        </w:rPr>
        <w:t>Za nesplnění nebo porušení povinností vyplývajících z těchto mimořádných veterinárních opatření může správní orgán podle</w:t>
      </w:r>
      <w:r w:rsidRPr="00C218AE">
        <w:rPr>
          <w:sz w:val="22"/>
        </w:rPr>
        <w:t xml:space="preserve"> ustanovení § 71 nebo § 72 veterinárního zákona uložit pokutu až do výše: </w:t>
      </w:r>
    </w:p>
    <w:p w:rsidR="00492BF3" w:rsidRPr="00C218AE" w:rsidRDefault="00BA015B">
      <w:pPr>
        <w:numPr>
          <w:ilvl w:val="0"/>
          <w:numId w:val="3"/>
        </w:numPr>
        <w:ind w:right="7" w:hanging="255"/>
        <w:rPr>
          <w:sz w:val="22"/>
        </w:rPr>
      </w:pPr>
      <w:r w:rsidRPr="00C218AE">
        <w:rPr>
          <w:sz w:val="22"/>
        </w:rPr>
        <w:t xml:space="preserve">100 000 Kč, jde-li o fyzickou osobu, </w:t>
      </w:r>
    </w:p>
    <w:p w:rsidR="00492BF3" w:rsidRPr="00C218AE" w:rsidRDefault="00BA015B">
      <w:pPr>
        <w:numPr>
          <w:ilvl w:val="0"/>
          <w:numId w:val="3"/>
        </w:numPr>
        <w:spacing w:after="366"/>
        <w:ind w:right="7" w:hanging="255"/>
        <w:rPr>
          <w:sz w:val="22"/>
        </w:rPr>
      </w:pPr>
      <w:r w:rsidRPr="00C218AE">
        <w:rPr>
          <w:sz w:val="22"/>
        </w:rPr>
        <w:t xml:space="preserve">2 000 000 Kč, jde-li o právnickou osobu nebo podnikající fyzickou osobu. </w:t>
      </w:r>
    </w:p>
    <w:p w:rsidR="00492BF3" w:rsidRPr="00C218AE" w:rsidRDefault="00BA015B">
      <w:pPr>
        <w:spacing w:after="132" w:line="259" w:lineRule="auto"/>
        <w:ind w:right="227"/>
        <w:jc w:val="center"/>
        <w:rPr>
          <w:sz w:val="22"/>
        </w:rPr>
      </w:pPr>
      <w:r w:rsidRPr="00C218AE">
        <w:rPr>
          <w:sz w:val="22"/>
        </w:rPr>
        <w:t>Čl. 7</w:t>
      </w:r>
      <w:r w:rsidRPr="00C218AE">
        <w:rPr>
          <w:sz w:val="22"/>
        </w:rPr>
        <w:t xml:space="preserve"> </w:t>
      </w:r>
    </w:p>
    <w:p w:rsidR="00492BF3" w:rsidRPr="00C218AE" w:rsidRDefault="00BA015B">
      <w:pPr>
        <w:pStyle w:val="Nadpis1"/>
        <w:ind w:right="10"/>
        <w:rPr>
          <w:sz w:val="22"/>
        </w:rPr>
      </w:pPr>
      <w:r w:rsidRPr="00C218AE">
        <w:rPr>
          <w:sz w:val="22"/>
        </w:rPr>
        <w:t xml:space="preserve">Poučení </w:t>
      </w:r>
    </w:p>
    <w:p w:rsidR="00492BF3" w:rsidRPr="00C218AE" w:rsidRDefault="00BA015B">
      <w:pPr>
        <w:spacing w:after="200"/>
        <w:ind w:left="15" w:right="7" w:firstLine="571"/>
        <w:rPr>
          <w:sz w:val="22"/>
        </w:rPr>
      </w:pPr>
      <w:r w:rsidRPr="00C218AE">
        <w:rPr>
          <w:sz w:val="22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</w:t>
      </w:r>
      <w:r w:rsidRPr="00C218AE">
        <w:rPr>
          <w:sz w:val="22"/>
        </w:rPr>
        <w:t xml:space="preserve"> na člověka, je třeba jej včas uplatnit na základě žádosti podané u Ministerstva zemědělství, které o ní rozhodne. Podrobnosti pro uplatňování náhrady a náležitosti žádosti o její poskytnutí stanoví vyhláška č. 342/2012 Sb., o zdraví zvířat a jeho ochraně,</w:t>
      </w:r>
      <w:r w:rsidRPr="00C218AE">
        <w:rPr>
          <w:sz w:val="22"/>
        </w:rPr>
        <w:t xml:space="preserve"> o přemísťování a přepravě zvířat a o oprávnění a odborné způsobilosti k výkonu některých odborných veterinárních činností. Formulář žádosti je dostupný na internetových stránkách Ministerstva zemědělství. </w:t>
      </w:r>
    </w:p>
    <w:p w:rsidR="00492BF3" w:rsidRPr="00C218AE" w:rsidRDefault="00BA015B">
      <w:pPr>
        <w:spacing w:after="178" w:line="259" w:lineRule="auto"/>
        <w:ind w:right="227"/>
        <w:jc w:val="center"/>
        <w:rPr>
          <w:sz w:val="22"/>
        </w:rPr>
      </w:pPr>
      <w:r w:rsidRPr="00C218AE">
        <w:rPr>
          <w:sz w:val="22"/>
        </w:rPr>
        <w:t xml:space="preserve">Čl. 8 </w:t>
      </w:r>
    </w:p>
    <w:p w:rsidR="00492BF3" w:rsidRPr="00C218AE" w:rsidRDefault="00BA015B">
      <w:pPr>
        <w:pStyle w:val="Nadpis1"/>
        <w:spacing w:after="224"/>
        <w:ind w:right="2"/>
        <w:rPr>
          <w:sz w:val="22"/>
        </w:rPr>
      </w:pPr>
      <w:r w:rsidRPr="00C218AE">
        <w:rPr>
          <w:sz w:val="22"/>
        </w:rPr>
        <w:t xml:space="preserve">Společná a závěrečná ustanovení </w:t>
      </w:r>
    </w:p>
    <w:p w:rsidR="00492BF3" w:rsidRPr="00C218AE" w:rsidRDefault="00BA015B">
      <w:pPr>
        <w:numPr>
          <w:ilvl w:val="0"/>
          <w:numId w:val="4"/>
        </w:numPr>
        <w:ind w:right="7" w:hanging="421"/>
        <w:rPr>
          <w:sz w:val="22"/>
        </w:rPr>
      </w:pPr>
      <w:r w:rsidRPr="00C218AE">
        <w:rPr>
          <w:sz w:val="22"/>
        </w:rPr>
        <w:t>Toto naří</w:t>
      </w:r>
      <w:r w:rsidRPr="00C218AE">
        <w:rPr>
          <w:sz w:val="22"/>
        </w:rPr>
        <w:t>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</w:t>
      </w:r>
      <w:r w:rsidRPr="00C218AE">
        <w:rPr>
          <w:sz w:val="22"/>
        </w:rPr>
        <w:t xml:space="preserve">eho vyhlášením formou zveřejnění ve Sbírce právních předpisů. Datum a čas vyhlášení nařízení je vyznačen ve Sbírce právních předpisů.  </w:t>
      </w:r>
    </w:p>
    <w:p w:rsidR="00492BF3" w:rsidRPr="00C218AE" w:rsidRDefault="00BA015B">
      <w:pPr>
        <w:numPr>
          <w:ilvl w:val="0"/>
          <w:numId w:val="4"/>
        </w:numPr>
        <w:ind w:right="7" w:hanging="421"/>
        <w:rPr>
          <w:sz w:val="22"/>
        </w:rPr>
      </w:pPr>
      <w:r w:rsidRPr="00C218AE">
        <w:rPr>
          <w:sz w:val="22"/>
        </w:rPr>
        <w:t xml:space="preserve">Toto nařízení se vyvěšuje na </w:t>
      </w:r>
      <w:r w:rsidRPr="00C218AE">
        <w:rPr>
          <w:sz w:val="22"/>
        </w:rPr>
        <w:t xml:space="preserve">úředních deskách krajského úřadu a všech obecních úřadů, jejichž území se týká, na dobu nejméně 15 dnů a musí být každému přístupné u krajské veterinární správy, krajského úřadu a všech obecních úřadů, jejichž území se týká.   </w:t>
      </w:r>
    </w:p>
    <w:p w:rsidR="00492BF3" w:rsidRPr="00C218AE" w:rsidRDefault="00BA015B">
      <w:pPr>
        <w:numPr>
          <w:ilvl w:val="0"/>
          <w:numId w:val="4"/>
        </w:numPr>
        <w:spacing w:after="350"/>
        <w:ind w:right="7" w:hanging="421"/>
        <w:rPr>
          <w:sz w:val="22"/>
        </w:rPr>
      </w:pPr>
      <w:r w:rsidRPr="00C218AE">
        <w:rPr>
          <w:sz w:val="22"/>
        </w:rPr>
        <w:t>Státní veterinární správa zv</w:t>
      </w:r>
      <w:r w:rsidRPr="00C218AE">
        <w:rPr>
          <w:sz w:val="22"/>
        </w:rPr>
        <w:t xml:space="preserve">eřejní oznámení o vyhlášení nařízení ve Sbírce právních předpisů na své úřední desce po dobu alespoň 15 dnů ode dne, kdy byla o vyhlášení vyrozuměna </w:t>
      </w:r>
    </w:p>
    <w:p w:rsidR="00492BF3" w:rsidRPr="00C218AE" w:rsidRDefault="00BA015B">
      <w:pPr>
        <w:spacing w:after="227"/>
        <w:ind w:left="25" w:right="7"/>
        <w:rPr>
          <w:sz w:val="22"/>
        </w:rPr>
      </w:pPr>
      <w:r w:rsidRPr="00C218AE">
        <w:rPr>
          <w:sz w:val="22"/>
        </w:rPr>
        <w:t xml:space="preserve">V Benešově dne 18.03.2022 </w:t>
      </w:r>
    </w:p>
    <w:p w:rsidR="00492BF3" w:rsidRPr="00C218AE" w:rsidRDefault="00BA015B">
      <w:pPr>
        <w:spacing w:after="0" w:line="259" w:lineRule="auto"/>
        <w:ind w:left="4324" w:right="0" w:firstLine="0"/>
        <w:jc w:val="center"/>
        <w:rPr>
          <w:sz w:val="22"/>
        </w:rPr>
      </w:pPr>
      <w:r w:rsidRPr="00C218AE">
        <w:rPr>
          <w:sz w:val="22"/>
        </w:rPr>
        <w:t xml:space="preserve"> </w:t>
      </w:r>
    </w:p>
    <w:p w:rsidR="00492BF3" w:rsidRPr="00C218AE" w:rsidRDefault="00BA015B" w:rsidP="00C218AE">
      <w:pPr>
        <w:spacing w:after="11"/>
        <w:ind w:left="4678" w:right="7"/>
        <w:jc w:val="center"/>
        <w:rPr>
          <w:sz w:val="22"/>
        </w:rPr>
      </w:pPr>
      <w:r w:rsidRPr="00C218AE">
        <w:rPr>
          <w:sz w:val="22"/>
        </w:rPr>
        <w:t>MVDr. Otto Vraný</w:t>
      </w:r>
    </w:p>
    <w:p w:rsidR="00492BF3" w:rsidRPr="00C218AE" w:rsidRDefault="00BA015B" w:rsidP="00C218AE">
      <w:pPr>
        <w:ind w:left="4678" w:right="247"/>
        <w:jc w:val="center"/>
        <w:rPr>
          <w:sz w:val="22"/>
        </w:rPr>
      </w:pPr>
      <w:r w:rsidRPr="00C218AE">
        <w:rPr>
          <w:sz w:val="22"/>
        </w:rPr>
        <w:t>ředitel Krajské veterinární správy Státní veterinární správ</w:t>
      </w:r>
      <w:r w:rsidRPr="00C218AE">
        <w:rPr>
          <w:sz w:val="22"/>
        </w:rPr>
        <w:t>y pro Středočeský kraj podepsáno elektronicky</w:t>
      </w:r>
    </w:p>
    <w:p w:rsidR="00492BF3" w:rsidRPr="00C218AE" w:rsidRDefault="00BA015B">
      <w:pPr>
        <w:spacing w:after="0" w:line="259" w:lineRule="auto"/>
        <w:ind w:left="0" w:right="0" w:firstLine="0"/>
        <w:jc w:val="left"/>
        <w:rPr>
          <w:sz w:val="22"/>
        </w:rPr>
      </w:pPr>
      <w:r w:rsidRPr="00C218AE">
        <w:rPr>
          <w:b/>
          <w:sz w:val="22"/>
        </w:rPr>
        <w:lastRenderedPageBreak/>
        <w:t xml:space="preserve">Obdrží: </w:t>
      </w:r>
    </w:p>
    <w:p w:rsidR="00492BF3" w:rsidRPr="00C218AE" w:rsidRDefault="00BA015B">
      <w:pPr>
        <w:spacing w:after="167"/>
        <w:ind w:left="25" w:right="7"/>
        <w:rPr>
          <w:sz w:val="22"/>
        </w:rPr>
      </w:pPr>
      <w:r w:rsidRPr="00C218AE">
        <w:rPr>
          <w:sz w:val="22"/>
        </w:rPr>
        <w:t xml:space="preserve">Krajský úřad pro Středočeský kraj   </w:t>
      </w:r>
    </w:p>
    <w:p w:rsidR="00492BF3" w:rsidRPr="00C218AE" w:rsidRDefault="00BA015B">
      <w:pPr>
        <w:spacing w:after="167"/>
        <w:ind w:left="25" w:right="7"/>
        <w:rPr>
          <w:sz w:val="22"/>
        </w:rPr>
      </w:pPr>
      <w:r w:rsidRPr="00C218AE">
        <w:rPr>
          <w:sz w:val="22"/>
        </w:rPr>
        <w:t xml:space="preserve">Krajská hygienická stanice Středočeského kraje   </w:t>
      </w:r>
    </w:p>
    <w:p w:rsidR="00492BF3" w:rsidRPr="00C218AE" w:rsidRDefault="00BA015B">
      <w:pPr>
        <w:spacing w:after="151"/>
        <w:ind w:left="25" w:right="7"/>
        <w:rPr>
          <w:sz w:val="22"/>
        </w:rPr>
      </w:pPr>
      <w:r w:rsidRPr="00C218AE">
        <w:rPr>
          <w:sz w:val="22"/>
        </w:rPr>
        <w:t xml:space="preserve">Obecní úřady obcí Velenka a Starý Vestec </w:t>
      </w:r>
    </w:p>
    <w:p w:rsidR="00492BF3" w:rsidRPr="00C218AE" w:rsidRDefault="00BA015B">
      <w:pPr>
        <w:spacing w:after="167"/>
        <w:ind w:left="25" w:right="7"/>
        <w:rPr>
          <w:sz w:val="22"/>
        </w:rPr>
      </w:pPr>
      <w:r w:rsidRPr="00C218AE">
        <w:rPr>
          <w:sz w:val="22"/>
        </w:rPr>
        <w:t xml:space="preserve">ORP Nymburk </w:t>
      </w:r>
    </w:p>
    <w:p w:rsidR="00492BF3" w:rsidRPr="00C218AE" w:rsidRDefault="00BA015B">
      <w:pPr>
        <w:spacing w:after="167"/>
        <w:ind w:left="25" w:right="7"/>
        <w:rPr>
          <w:sz w:val="22"/>
        </w:rPr>
      </w:pPr>
      <w:r w:rsidRPr="00C218AE">
        <w:rPr>
          <w:sz w:val="22"/>
        </w:rPr>
        <w:t xml:space="preserve">ORP Lysá nad Labem </w:t>
      </w:r>
    </w:p>
    <w:p w:rsidR="00492BF3" w:rsidRPr="00C218AE" w:rsidRDefault="00BA015B">
      <w:pPr>
        <w:spacing w:after="96" w:line="259" w:lineRule="auto"/>
        <w:ind w:left="0" w:right="0" w:firstLine="0"/>
        <w:jc w:val="left"/>
        <w:rPr>
          <w:sz w:val="22"/>
        </w:rPr>
      </w:pPr>
      <w:r w:rsidRPr="00C218AE">
        <w:rPr>
          <w:sz w:val="22"/>
        </w:rPr>
        <w:t xml:space="preserve"> </w:t>
      </w:r>
    </w:p>
    <w:p w:rsidR="00492BF3" w:rsidRPr="00C218AE" w:rsidRDefault="00BA015B">
      <w:pPr>
        <w:spacing w:after="0" w:line="259" w:lineRule="auto"/>
        <w:ind w:left="0" w:right="0" w:firstLine="0"/>
        <w:jc w:val="left"/>
        <w:rPr>
          <w:sz w:val="22"/>
        </w:rPr>
      </w:pPr>
      <w:r w:rsidRPr="00C218AE">
        <w:rPr>
          <w:color w:val="0000FF"/>
          <w:sz w:val="22"/>
        </w:rPr>
        <w:t xml:space="preserve"> </w:t>
      </w:r>
    </w:p>
    <w:p w:rsidR="00492BF3" w:rsidRPr="00C218AE" w:rsidRDefault="00BA015B">
      <w:pPr>
        <w:spacing w:after="156" w:line="259" w:lineRule="auto"/>
        <w:ind w:left="0" w:right="0" w:firstLine="0"/>
        <w:jc w:val="left"/>
        <w:rPr>
          <w:sz w:val="22"/>
        </w:rPr>
      </w:pPr>
      <w:r w:rsidRPr="00C218AE">
        <w:rPr>
          <w:sz w:val="22"/>
        </w:rPr>
        <w:t xml:space="preserve"> </w:t>
      </w:r>
    </w:p>
    <w:p w:rsidR="00492BF3" w:rsidRPr="00C218AE" w:rsidRDefault="00BA015B">
      <w:pPr>
        <w:spacing w:after="0" w:line="259" w:lineRule="auto"/>
        <w:ind w:left="0" w:right="0" w:firstLine="0"/>
        <w:jc w:val="left"/>
        <w:rPr>
          <w:sz w:val="22"/>
        </w:rPr>
      </w:pPr>
      <w:r w:rsidRPr="00C218AE">
        <w:rPr>
          <w:sz w:val="22"/>
        </w:rPr>
        <w:t xml:space="preserve"> </w:t>
      </w:r>
    </w:p>
    <w:sectPr w:rsidR="00492BF3" w:rsidRPr="00C218AE">
      <w:pgSz w:w="11910" w:h="16845"/>
      <w:pgMar w:top="1338" w:right="1287" w:bottom="1304" w:left="13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D6330"/>
    <w:multiLevelType w:val="hybridMultilevel"/>
    <w:tmpl w:val="EB8E2742"/>
    <w:lvl w:ilvl="0" w:tplc="72D85B44">
      <w:start w:val="1"/>
      <w:numFmt w:val="decimal"/>
      <w:lvlText w:val="(%1)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42470C">
      <w:start w:val="1"/>
      <w:numFmt w:val="lowerLetter"/>
      <w:lvlText w:val="%2"/>
      <w:lvlJc w:val="left"/>
      <w:pPr>
        <w:ind w:left="1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80018E">
      <w:start w:val="1"/>
      <w:numFmt w:val="lowerRoman"/>
      <w:lvlText w:val="%3"/>
      <w:lvlJc w:val="left"/>
      <w:pPr>
        <w:ind w:left="1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30B2B0">
      <w:start w:val="1"/>
      <w:numFmt w:val="decimal"/>
      <w:lvlText w:val="%4"/>
      <w:lvlJc w:val="left"/>
      <w:pPr>
        <w:ind w:left="2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08410A">
      <w:start w:val="1"/>
      <w:numFmt w:val="lowerLetter"/>
      <w:lvlText w:val="%5"/>
      <w:lvlJc w:val="left"/>
      <w:pPr>
        <w:ind w:left="3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CAD036">
      <w:start w:val="1"/>
      <w:numFmt w:val="lowerRoman"/>
      <w:lvlText w:val="%6"/>
      <w:lvlJc w:val="left"/>
      <w:pPr>
        <w:ind w:left="4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5C082C">
      <w:start w:val="1"/>
      <w:numFmt w:val="decimal"/>
      <w:lvlText w:val="%7"/>
      <w:lvlJc w:val="left"/>
      <w:pPr>
        <w:ind w:left="4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902D06">
      <w:start w:val="1"/>
      <w:numFmt w:val="lowerLetter"/>
      <w:lvlText w:val="%8"/>
      <w:lvlJc w:val="left"/>
      <w:pPr>
        <w:ind w:left="5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52414E">
      <w:start w:val="1"/>
      <w:numFmt w:val="lowerRoman"/>
      <w:lvlText w:val="%9"/>
      <w:lvlJc w:val="left"/>
      <w:pPr>
        <w:ind w:left="6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1F2FDB"/>
    <w:multiLevelType w:val="hybridMultilevel"/>
    <w:tmpl w:val="4A921A66"/>
    <w:lvl w:ilvl="0" w:tplc="3F02A328">
      <w:start w:val="1"/>
      <w:numFmt w:val="lowerLetter"/>
      <w:lvlText w:val="%1)"/>
      <w:lvlJc w:val="left"/>
      <w:pPr>
        <w:ind w:left="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A24C8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BA203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BFE75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8F272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0E83E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AC637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B6057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A1246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C46A91"/>
    <w:multiLevelType w:val="hybridMultilevel"/>
    <w:tmpl w:val="1B60AD14"/>
    <w:lvl w:ilvl="0" w:tplc="6748A952">
      <w:start w:val="1"/>
      <w:numFmt w:val="decimal"/>
      <w:lvlText w:val="(%1)"/>
      <w:lvlJc w:val="left"/>
      <w:pPr>
        <w:ind w:left="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5CCB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047D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56C3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DC3E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04F9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AE27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4AE8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A41D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0D1982"/>
    <w:multiLevelType w:val="hybridMultilevel"/>
    <w:tmpl w:val="AB7E926A"/>
    <w:lvl w:ilvl="0" w:tplc="8E967C0A">
      <w:start w:val="1"/>
      <w:numFmt w:val="decimal"/>
      <w:lvlText w:val="(%1)"/>
      <w:lvlJc w:val="left"/>
      <w:pPr>
        <w:ind w:left="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29C6E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960EDC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D0E44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1FC6E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7A803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F5686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E8EE8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D3857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F3"/>
    <w:rsid w:val="00492BF3"/>
    <w:rsid w:val="00BA015B"/>
    <w:rsid w:val="00C2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B51D2-19AA-41BD-ACF2-CB0FFB3F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09" w:line="248" w:lineRule="auto"/>
      <w:ind w:left="10" w:right="2" w:hanging="10"/>
      <w:jc w:val="both"/>
    </w:pPr>
    <w:rPr>
      <w:rFonts w:ascii="Arial" w:eastAsia="Arial" w:hAnsi="Arial" w:cs="Arial"/>
      <w:color w:val="000000"/>
      <w:sz w:val="23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11"/>
      <w:ind w:left="10" w:right="20" w:hanging="10"/>
      <w:jc w:val="center"/>
      <w:outlineLvl w:val="1"/>
    </w:pPr>
    <w:rPr>
      <w:rFonts w:ascii="Arial" w:eastAsia="Arial" w:hAnsi="Arial" w:cs="Arial"/>
      <w:b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3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1295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Škrabal</dc:creator>
  <cp:keywords/>
  <cp:lastModifiedBy>Jakub Škrabal</cp:lastModifiedBy>
  <cp:revision>3</cp:revision>
  <dcterms:created xsi:type="dcterms:W3CDTF">2022-03-18T12:42:00Z</dcterms:created>
  <dcterms:modified xsi:type="dcterms:W3CDTF">2022-03-18T12:43:00Z</dcterms:modified>
</cp:coreProperties>
</file>