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131F5" w14:textId="160D0AEC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 </w:t>
      </w:r>
      <w:r w:rsidR="00722FBB">
        <w:rPr>
          <w:rFonts w:ascii="Arial" w:hAnsi="Arial" w:cs="Arial"/>
          <w:b/>
          <w:color w:val="000000" w:themeColor="text1"/>
        </w:rPr>
        <w:t>Řídeč</w:t>
      </w:r>
    </w:p>
    <w:p w14:paraId="59967A04" w14:textId="64E772E8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722FBB">
        <w:rPr>
          <w:rFonts w:ascii="Arial" w:hAnsi="Arial" w:cs="Arial"/>
          <w:b/>
          <w:color w:val="000000" w:themeColor="text1"/>
        </w:rPr>
        <w:t>Řídeč</w:t>
      </w:r>
    </w:p>
    <w:p w14:paraId="7CD3C883" w14:textId="4313AD3E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722FBB">
        <w:rPr>
          <w:rFonts w:ascii="Arial" w:hAnsi="Arial" w:cs="Arial"/>
          <w:b/>
          <w:color w:val="000000" w:themeColor="text1"/>
        </w:rPr>
        <w:t>Řídeč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4B4D4A7A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 xml:space="preserve">Řídeč </w:t>
      </w:r>
      <w:r w:rsidR="00E2491F" w:rsidRPr="00DD327C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E2491F" w:rsidRPr="00367E09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21.</w:t>
      </w:r>
      <w:r w:rsidR="00CC3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5.</w:t>
      </w:r>
      <w:r w:rsidR="00CC3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2025,</w:t>
      </w:r>
      <w:r w:rsidR="00367E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A342AC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CC3962">
        <w:rPr>
          <w:rFonts w:ascii="Arial" w:hAnsi="Arial" w:cs="Arial"/>
          <w:sz w:val="22"/>
          <w:szCs w:val="22"/>
        </w:rPr>
        <w:t xml:space="preserve">č. </w:t>
      </w:r>
      <w:r w:rsidR="00722FBB" w:rsidRPr="00CC3962">
        <w:rPr>
          <w:rFonts w:ascii="Arial" w:hAnsi="Arial" w:cs="Arial"/>
          <w:sz w:val="22"/>
          <w:szCs w:val="22"/>
        </w:rPr>
        <w:t>3/7/2025</w:t>
      </w:r>
      <w:r w:rsidR="00BA3966" w:rsidRPr="00CC3962">
        <w:rPr>
          <w:rFonts w:ascii="Arial" w:hAnsi="Arial" w:cs="Arial"/>
          <w:sz w:val="22"/>
          <w:szCs w:val="22"/>
        </w:rPr>
        <w:t>,</w:t>
      </w:r>
      <w:r w:rsidR="00DB4656" w:rsidRPr="00CC3962">
        <w:rPr>
          <w:rFonts w:ascii="Arial" w:hAnsi="Arial" w:cs="Arial"/>
          <w:sz w:val="22"/>
          <w:szCs w:val="22"/>
        </w:rPr>
        <w:t xml:space="preserve"> </w:t>
      </w:r>
      <w:r w:rsidR="0024722A" w:rsidRPr="00CC3962">
        <w:rPr>
          <w:rFonts w:ascii="Arial" w:hAnsi="Arial" w:cs="Arial"/>
          <w:sz w:val="22"/>
          <w:szCs w:val="22"/>
        </w:rPr>
        <w:t xml:space="preserve">usneslo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vydat na základě §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D327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D327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D327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(dále jen „zákon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20E53978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Řídeč.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068C9DA4" w:rsidR="00D62F8B" w:rsidRPr="00DD327C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56F36C92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lasty</w:t>
      </w:r>
      <w:r w:rsidR="00745703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včetně PET lahví</w:t>
      </w:r>
      <w:r w:rsidR="00DD327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nápojového kartónu</w:t>
      </w:r>
      <w:r w:rsidR="00C55C05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5DFD1DA9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 kontejnery.</w:t>
      </w:r>
    </w:p>
    <w:p w14:paraId="214D7CBE" w14:textId="33E6954E" w:rsidR="002A3581" w:rsidRPr="00DD327C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sklo, kovy, biologické odpady, jedlé oleje a tuky, textil jsou umístěny na stanovištích uvedených na webových stránkách obce 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Řídeč</w:t>
      </w:r>
      <w:r w:rsidR="00C55C0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barva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565A6F6E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, barva </w:t>
      </w:r>
      <w:proofErr w:type="gramStart"/>
      <w:r w:rsidR="00722FBB">
        <w:rPr>
          <w:rFonts w:ascii="Arial" w:hAnsi="Arial" w:cs="Arial"/>
          <w:bCs/>
          <w:i/>
          <w:color w:val="000000" w:themeColor="text1"/>
        </w:rPr>
        <w:t>oranžová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</w:t>
      </w:r>
      <w:proofErr w:type="gramEnd"/>
      <w:r w:rsidR="00C55C05">
        <w:rPr>
          <w:rFonts w:ascii="Arial" w:hAnsi="Arial" w:cs="Arial"/>
          <w:bCs/>
          <w:i/>
          <w:color w:val="000000" w:themeColor="text1"/>
        </w:rPr>
        <w:t xml:space="preserve"> kovový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79C6CD40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edlé oleje a 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 černo-</w:t>
      </w:r>
      <w:r w:rsidR="00722FBB">
        <w:rPr>
          <w:rFonts w:ascii="Arial" w:hAnsi="Arial" w:cs="Arial"/>
          <w:i/>
          <w:iCs/>
          <w:color w:val="000000" w:themeColor="text1"/>
          <w:sz w:val="22"/>
          <w:szCs w:val="22"/>
        </w:rPr>
        <w:t>červená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77777777" w:rsidR="009007DD" w:rsidRPr="00DD327C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0D2B8890" w14:textId="5BEBD4D6" w:rsidR="00FB0AF3" w:rsidRPr="00DD327C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.</w:t>
      </w:r>
      <w:r w:rsidR="007D52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svozu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těchto složek odpadu jsou zveřejňovány na webových stránkách obce</w:t>
      </w:r>
      <w:r w:rsidR="00722FBB">
        <w:rPr>
          <w:rFonts w:ascii="Arial" w:hAnsi="Arial" w:cs="Arial"/>
          <w:color w:val="000000" w:themeColor="text1"/>
          <w:sz w:val="22"/>
          <w:szCs w:val="22"/>
        </w:rPr>
        <w:t>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BC3FEB" w14:textId="77777777" w:rsidR="0024722A" w:rsidRPr="00DD327C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DD327C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77777777" w:rsidR="00BA3966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 xml:space="preserve"> a dřevo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se odkládá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do velkoobjemových kontejnerů přistavených na místech a v termínech stanovených obcí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77777777" w:rsidR="0025354B" w:rsidRPr="00DD327C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DD327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82F934C" w14:textId="1B489EAE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ypizované sběrné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nádoby o objemu 240 litrů 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 xml:space="preserve">a 1100 litrů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určené ke shromažďování směsného komunálního odpadu z domácností a provozoven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0EFF651" w14:textId="428BA04A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dpadkové koše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5EFF9234" w14:textId="77777777" w:rsidR="00BA3966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E6FE7E" w14:textId="77777777" w:rsidR="00BA3966" w:rsidRPr="00DD327C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7971594B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08494E">
        <w:rPr>
          <w:rFonts w:ascii="Arial" w:hAnsi="Arial" w:cs="Arial"/>
          <w:color w:val="000000" w:themeColor="text1"/>
          <w:sz w:val="22"/>
          <w:szCs w:val="22"/>
        </w:rPr>
        <w:t>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i),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j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na webových stránkách obce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(ostatní složky komunálního odpadu)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116F1A2A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Výše úhrady za zapojení do obecního systému se stanoví dle platného Ceníku schváleného zastupitelstvem obce. Ceník pr</w:t>
      </w:r>
      <w:r w:rsidR="00F7483B">
        <w:rPr>
          <w:rFonts w:ascii="Arial" w:hAnsi="Arial" w:cs="Arial"/>
          <w:color w:val="000000" w:themeColor="text1"/>
          <w:sz w:val="22"/>
          <w:szCs w:val="22"/>
        </w:rPr>
        <w:t>o daný kalendářní rok je zveřejňován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7483B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 k dispozici na obecním úřadě</w:t>
      </w:r>
      <w:r w:rsidR="00F7483B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3" w:name="_GoBack"/>
      <w:bookmarkEnd w:id="3"/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79F66250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08494E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73A3FABA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29EE7DDA" w:rsidR="009716D9" w:rsidRPr="00DD327C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becně závazná vyhláška obce </w:t>
      </w:r>
      <w:r w:rsidR="00136979">
        <w:rPr>
          <w:rFonts w:ascii="Arial" w:hAnsi="Arial" w:cs="Arial"/>
          <w:color w:val="000000" w:themeColor="text1"/>
          <w:sz w:val="22"/>
          <w:szCs w:val="22"/>
        </w:rPr>
        <w:t>Řídeč č. 1/2022</w:t>
      </w:r>
      <w:r w:rsidR="00F11578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C91" w:rsidRPr="00DD327C">
        <w:rPr>
          <w:rFonts w:ascii="Arial" w:hAnsi="Arial" w:cs="Arial"/>
          <w:color w:val="000000" w:themeColor="text1"/>
          <w:sz w:val="22"/>
          <w:szCs w:val="22"/>
        </w:rPr>
        <w:t xml:space="preserve">o stanovení 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136979">
        <w:rPr>
          <w:rFonts w:ascii="Arial" w:hAnsi="Arial" w:cs="Arial"/>
          <w:color w:val="000000" w:themeColor="text1"/>
          <w:sz w:val="22"/>
          <w:szCs w:val="22"/>
        </w:rPr>
        <w:t>16. 5. 2022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08494E">
      <w:pPr>
        <w:tabs>
          <w:tab w:val="num" w:pos="54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5AB2EAA7" w:rsidR="00EF053C" w:rsidRPr="00DD327C" w:rsidRDefault="0008494E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136979">
        <w:rPr>
          <w:rFonts w:ascii="Arial" w:hAnsi="Arial" w:cs="Arial"/>
          <w:color w:val="000000" w:themeColor="text1"/>
          <w:sz w:val="22"/>
          <w:szCs w:val="22"/>
        </w:rPr>
        <w:t xml:space="preserve">Ing. Jaroslav </w:t>
      </w:r>
      <w:proofErr w:type="gramStart"/>
      <w:r w:rsidR="00136979">
        <w:rPr>
          <w:rFonts w:ascii="Arial" w:hAnsi="Arial" w:cs="Arial"/>
          <w:color w:val="000000" w:themeColor="text1"/>
          <w:sz w:val="22"/>
          <w:szCs w:val="22"/>
        </w:rPr>
        <w:t xml:space="preserve">Okrajek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</w:t>
      </w:r>
      <w:proofErr w:type="gramEnd"/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136979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</w:t>
      </w:r>
      <w:r w:rsidR="00136979">
        <w:rPr>
          <w:rFonts w:ascii="Arial" w:hAnsi="Arial" w:cs="Arial"/>
          <w:bCs/>
          <w:color w:val="000000" w:themeColor="text1"/>
          <w:sz w:val="22"/>
          <w:szCs w:val="22"/>
        </w:rPr>
        <w:t xml:space="preserve"> Jaroslav </w:t>
      </w:r>
      <w:proofErr w:type="gramStart"/>
      <w:r w:rsidR="00136979">
        <w:rPr>
          <w:rFonts w:ascii="Arial" w:hAnsi="Arial" w:cs="Arial"/>
          <w:bCs/>
          <w:color w:val="000000" w:themeColor="text1"/>
          <w:sz w:val="22"/>
          <w:szCs w:val="22"/>
        </w:rPr>
        <w:t>Míča</w:t>
      </w:r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v.</w:t>
      </w:r>
      <w:proofErr w:type="gramEnd"/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r.</w:t>
      </w:r>
    </w:p>
    <w:p w14:paraId="671B5873" w14:textId="1CE0FE62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136979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08494E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136979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="0008494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1369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84352" w14:textId="77777777" w:rsidR="00B513FC" w:rsidRDefault="00B513FC">
      <w:r>
        <w:separator/>
      </w:r>
    </w:p>
  </w:endnote>
  <w:endnote w:type="continuationSeparator" w:id="0">
    <w:p w14:paraId="2BD2E1B4" w14:textId="77777777" w:rsidR="00B513FC" w:rsidRDefault="00B5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7483B">
      <w:rPr>
        <w:rFonts w:ascii="Arial" w:hAnsi="Arial" w:cs="Arial"/>
        <w:noProof/>
        <w:sz w:val="22"/>
        <w:szCs w:val="22"/>
      </w:rPr>
      <w:t>3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C73C8" w14:textId="77777777" w:rsidR="00B513FC" w:rsidRDefault="00B513FC">
      <w:r>
        <w:separator/>
      </w:r>
    </w:p>
  </w:footnote>
  <w:footnote w:type="continuationSeparator" w:id="0">
    <w:p w14:paraId="71107A3E" w14:textId="77777777" w:rsidR="00B513FC" w:rsidRDefault="00B513FC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9"/>
  </w:num>
  <w:num w:numId="3">
    <w:abstractNumId w:val="4"/>
  </w:num>
  <w:num w:numId="4">
    <w:abstractNumId w:val="27"/>
  </w:num>
  <w:num w:numId="5">
    <w:abstractNumId w:val="24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8"/>
  </w:num>
  <w:num w:numId="15">
    <w:abstractNumId w:val="16"/>
  </w:num>
  <w:num w:numId="16">
    <w:abstractNumId w:val="37"/>
  </w:num>
  <w:num w:numId="17">
    <w:abstractNumId w:val="5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4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8"/>
  </w:num>
  <w:num w:numId="29">
    <w:abstractNumId w:val="11"/>
  </w:num>
  <w:num w:numId="30">
    <w:abstractNumId w:val="13"/>
  </w:num>
  <w:num w:numId="31">
    <w:abstractNumId w:val="35"/>
  </w:num>
  <w:num w:numId="32">
    <w:abstractNumId w:val="30"/>
  </w:num>
  <w:num w:numId="33">
    <w:abstractNumId w:val="36"/>
  </w:num>
  <w:num w:numId="34">
    <w:abstractNumId w:val="17"/>
  </w:num>
  <w:num w:numId="35">
    <w:abstractNumId w:val="23"/>
  </w:num>
  <w:num w:numId="36">
    <w:abstractNumId w:val="15"/>
  </w:num>
  <w:num w:numId="37">
    <w:abstractNumId w:val="34"/>
  </w:num>
  <w:num w:numId="38">
    <w:abstractNumId w:val="33"/>
  </w:num>
  <w:num w:numId="39">
    <w:abstractNumId w:val="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3B6"/>
    <w:rsid w:val="00077E69"/>
    <w:rsid w:val="0008494E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36979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3A1"/>
    <w:rsid w:val="001F6414"/>
    <w:rsid w:val="00200839"/>
    <w:rsid w:val="00202C4A"/>
    <w:rsid w:val="002058CF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3046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FBB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A6A02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13FC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55C05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3962"/>
    <w:rsid w:val="00CC4B32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483B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9DD5-957A-4649-815E-2B694605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5639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9</cp:revision>
  <cp:lastPrinted>2025-02-27T16:56:00Z</cp:lastPrinted>
  <dcterms:created xsi:type="dcterms:W3CDTF">2025-03-13T08:24:00Z</dcterms:created>
  <dcterms:modified xsi:type="dcterms:W3CDTF">2025-04-24T06:40:00Z</dcterms:modified>
</cp:coreProperties>
</file>