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ab/>
      </w:r>
    </w:p>
    <w:p>
      <w:pPr>
        <w:pStyle w:val="14"/>
        <w:tabs>
          <w:tab w:val="left" w:pos="708"/>
        </w:tabs>
      </w:pP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OBORA</w:t>
      </w: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Obora</w:t>
      </w:r>
    </w:p>
    <w:p>
      <w:pPr>
        <w:spacing w:line="276" w:lineRule="auto"/>
        <w:jc w:val="center"/>
        <w:rPr>
          <w:rFonts w:ascii="Arial" w:hAnsi="Arial" w:cs="Arial"/>
          <w:b/>
        </w:rPr>
      </w:pP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Obora 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>
      <w:pPr>
        <w:pStyle w:val="21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>
      <w:pPr>
        <w:pStyle w:val="21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 xml:space="preserve">Zastupitelstvo obce Obora se na svém zasedání dne 9. 11. 2023 </w:t>
      </w:r>
      <w:r>
        <w:rPr>
          <w:rFonts w:asciiTheme="minorHAnsi" w:hAnsiTheme="minorHAnsi" w:cstheme="minorHAnsi"/>
          <w:b w:val="0"/>
          <w:sz w:val="28"/>
          <w:szCs w:val="28"/>
          <w:u w:val="single"/>
        </w:rPr>
        <w:t>usnesením č. 50/2023</w:t>
      </w:r>
      <w:r>
        <w:rPr>
          <w:rFonts w:asciiTheme="minorHAnsi" w:hAnsiTheme="minorHAnsi" w:cstheme="minorHAnsi"/>
          <w:bCs w:val="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 w:val="0"/>
          <w:sz w:val="28"/>
          <w:szCs w:val="28"/>
        </w:rPr>
        <w:t>usneslo vydat na základě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2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>
      <w:pPr>
        <w:pStyle w:val="7"/>
        <w:numPr>
          <w:ilvl w:val="0"/>
          <w:numId w:val="2"/>
        </w:numPr>
        <w:spacing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 Obora touto vyhláškou zavádí místní poplatek za obecní systém odpadového hospodářství (dále jen „poplatek“).</w:t>
      </w:r>
    </w:p>
    <w:p>
      <w:pPr>
        <w:pStyle w:val="7"/>
        <w:numPr>
          <w:ilvl w:val="0"/>
          <w:numId w:val="2"/>
        </w:numPr>
        <w:spacing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Poplatkovým obdobím poplatku je kalendářní rok.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0"/>
      </w:r>
    </w:p>
    <w:p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Správcem poplatku je Obecní úřad Obora.</w:t>
      </w:r>
      <w:r>
        <w:rPr>
          <w:rFonts w:asciiTheme="minorHAnsi" w:hAnsiTheme="minorHAnsi" w:cstheme="minorHAnsi"/>
          <w:sz w:val="28"/>
          <w:szCs w:val="28"/>
          <w:vertAlign w:val="superscript"/>
        </w:rPr>
        <w:footnoteReference w:id="1"/>
      </w:r>
    </w:p>
    <w:p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                                                    Čl. 2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>
      <w:pPr>
        <w:numPr>
          <w:ilvl w:val="0"/>
          <w:numId w:val="3"/>
        </w:numPr>
        <w:spacing w:before="120" w:after="6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Poplatníkem poplatku je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2"/>
      </w:r>
      <w:r>
        <w:rPr>
          <w:rFonts w:asciiTheme="minorHAnsi" w:hAnsiTheme="minorHAnsi" w:cstheme="minorHAnsi"/>
          <w:sz w:val="28"/>
          <w:szCs w:val="28"/>
        </w:rPr>
        <w:t>:</w:t>
      </w:r>
    </w:p>
    <w:p>
      <w:pPr>
        <w:pStyle w:val="27"/>
        <w:spacing w:after="720" w:afterLines="30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a) fyzická osoba přihlášená v obci Obora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3"/>
      </w:r>
      <w:r>
        <w:rPr>
          <w:rFonts w:asciiTheme="minorHAnsi" w:hAnsiTheme="minorHAnsi" w:cstheme="minorHAnsi"/>
          <w:sz w:val="28"/>
          <w:szCs w:val="28"/>
        </w:rPr>
        <w:t xml:space="preserve"> nebo </w:t>
      </w:r>
    </w:p>
    <w:p>
      <w:pPr>
        <w:pStyle w:val="27"/>
        <w:spacing w:before="120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b) vlastník nemovité věci zahrnující byt, rodinný dům nebo stavbu pro rodinnou rekreaci, ve které není přihlášená žádná fyzická osoba a která je umístěna na území obce.</w:t>
      </w:r>
    </w:p>
    <w:p>
      <w:pPr>
        <w:numPr>
          <w:ilvl w:val="0"/>
          <w:numId w:val="3"/>
        </w:numPr>
        <w:spacing w:before="120" w:after="6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Spoluvlastníci nemovité věci zahrnující byt, rodinný dům nebo stavbu pro rodinnou rekreaci jsou povinni plnit poplatkovou povinnost společně a nerozdílně.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4"/>
      </w:r>
    </w:p>
    <w:p>
      <w:pPr>
        <w:pStyle w:val="2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5"/>
      </w:r>
    </w:p>
    <w:p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Dojde-li ke změně údajů uvedených v ohlášení, je poplatník povinen tuto změnu oznámit do 15 dnů ode dne, kdy nastala.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6"/>
      </w:r>
    </w:p>
    <w:p>
      <w:pPr>
        <w:pStyle w:val="22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>
      <w:pPr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i/>
          <w:color w:val="0070C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Sazba poplatku činí </w:t>
      </w:r>
      <w:r>
        <w:rPr>
          <w:rFonts w:asciiTheme="minorHAnsi" w:hAnsiTheme="minorHAnsi" w:cstheme="minorHAnsi"/>
          <w:b/>
          <w:bCs/>
          <w:sz w:val="28"/>
          <w:szCs w:val="28"/>
        </w:rPr>
        <w:t>600 Kč.</w:t>
      </w:r>
    </w:p>
    <w:p>
      <w:pPr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Poplatek se v případě, že poplatková povinnost vznikla z důvodu přihlášení fyzické osoby v obci snižuje o jednu dvanáctinu </w:t>
      </w:r>
      <w:bookmarkStart w:id="0" w:name="_Hlk141031074"/>
      <w:r>
        <w:rPr>
          <w:rFonts w:asciiTheme="minorHAnsi" w:hAnsiTheme="minorHAnsi" w:cstheme="minorHAnsi"/>
          <w:sz w:val="28"/>
          <w:szCs w:val="28"/>
        </w:rPr>
        <w:t>za každý kalendářní měsíc</w:t>
      </w:r>
      <w:bookmarkEnd w:id="0"/>
      <w:r>
        <w:rPr>
          <w:rFonts w:asciiTheme="minorHAnsi" w:hAnsiTheme="minorHAnsi" w:cstheme="minorHAnsi"/>
          <w:sz w:val="28"/>
          <w:szCs w:val="28"/>
        </w:rPr>
        <w:t>, na jehož konci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7"/>
      </w:r>
    </w:p>
    <w:p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a) není tato fyzická osoba přihlášena v obci nebo</w:t>
      </w:r>
    </w:p>
    <w:p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b) je tato fyzická osoba od poplatku osvobozena.</w:t>
      </w:r>
    </w:p>
    <w:p>
      <w:pPr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Poplatek se v případě, že poplatková povinnost vznikla z důvodu vlastnictví jednotlivé nemovité věci zahrnující byt, rodinný dům nebo stavbu pro rodinnou rekreaci umístěné na území obce snižuje o jednu dvanáctinu za každý kalendářní měsíc, na jehož konci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8"/>
      </w:r>
    </w:p>
    <w:p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a) je v této nemovité věci přihlášena alespoň 1 fyzická osoba,</w:t>
      </w:r>
    </w:p>
    <w:p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b) poplatník nevlastní tuto nemovitou věc, nebo</w:t>
      </w:r>
    </w:p>
    <w:p>
      <w:pPr>
        <w:spacing w:before="120" w:after="60"/>
        <w:ind w:left="567"/>
        <w:jc w:val="both"/>
        <w:rPr>
          <w:rFonts w:asciiTheme="minorHAnsi" w:hAnsiTheme="minorHAnsi" w:cstheme="minorHAnsi"/>
          <w:i/>
          <w:color w:val="0070C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c) je poplatník od poplatku osvobozen</w:t>
      </w:r>
      <w:r>
        <w:rPr>
          <w:rFonts w:asciiTheme="minorHAnsi" w:hAnsiTheme="minorHAnsi" w:cstheme="minorHAnsi"/>
          <w:i/>
          <w:color w:val="0070C0"/>
          <w:sz w:val="28"/>
          <w:szCs w:val="28"/>
        </w:rPr>
        <w:t>.</w:t>
      </w:r>
    </w:p>
    <w:p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>
      <w:pPr>
        <w:pStyle w:val="2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Poplatek je splatný jednorázově, a to nejpozději do 30. června příslušného kalendářního roku. </w:t>
      </w:r>
    </w:p>
    <w:p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Lhůta splatnosti neskončí poplatníkovi dříve než lhůta pro podání ohlášení podle čl. 3 odst. 1 této vyhlášky</w:t>
      </w:r>
      <w:r>
        <w:rPr>
          <w:rFonts w:ascii="Arial" w:hAnsi="Arial" w:cs="Arial"/>
          <w:sz w:val="22"/>
          <w:szCs w:val="22"/>
        </w:rPr>
        <w:t xml:space="preserve">. </w:t>
      </w:r>
    </w:p>
    <w:p>
      <w:pPr>
        <w:pStyle w:val="2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>
      <w:pPr>
        <w:pStyle w:val="27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Od poplatku je osvobozena osoba, které poplatková povinnost vznikla z důvodu přihlášení v obci a která je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9"/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>
      <w:pPr>
        <w:pStyle w:val="27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a) poplatníkem poplatku za odkládání komunálního odpadu z nemovité věci v jiné obci a má v této jiné obci bydliště, </w:t>
      </w:r>
    </w:p>
    <w:p>
      <w:pPr>
        <w:pStyle w:val="27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27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27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27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e) na základě zákona omezena na osobní svobodě s výjimkou osoby vykonávající trest domácího vězení. </w:t>
      </w:r>
    </w:p>
    <w:p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Od poplatku se osvobozuje osoba, které poplatková povinnost vznikla z důvodu přihlášení v obci a která</w:t>
      </w:r>
    </w:p>
    <w:p>
      <w:pPr>
        <w:pStyle w:val="31"/>
        <w:numPr>
          <w:ilvl w:val="1"/>
          <w:numId w:val="8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má adresu trvalého pobytu v sídle ohlašovny</w:t>
      </w:r>
    </w:p>
    <w:p>
      <w:pPr>
        <w:pStyle w:val="31"/>
        <w:numPr>
          <w:ilvl w:val="1"/>
          <w:numId w:val="8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narodila v daném kalendářním roce</w:t>
      </w:r>
    </w:p>
    <w:p>
      <w:pPr>
        <w:pStyle w:val="31"/>
        <w:numPr>
          <w:ilvl w:val="1"/>
          <w:numId w:val="8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po dobu celého kalendářního roku zdržovala v zahraničí</w:t>
      </w:r>
    </w:p>
    <w:p>
      <w:pPr>
        <w:pStyle w:val="31"/>
        <w:numPr>
          <w:ilvl w:val="1"/>
          <w:numId w:val="8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 daném kalendářním roce dosáhla věku 80 let a starší</w:t>
      </w:r>
    </w:p>
    <w:p>
      <w:pPr>
        <w:pStyle w:val="31"/>
        <w:numPr>
          <w:ilvl w:val="1"/>
          <w:numId w:val="8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 členem zásahové jednotky SDH Obora</w:t>
      </w:r>
    </w:p>
    <w:p>
      <w:pPr>
        <w:spacing w:before="120" w:after="60"/>
        <w:ind w:left="1021"/>
        <w:jc w:val="both"/>
        <w:rPr>
          <w:rFonts w:asciiTheme="minorHAnsi" w:hAnsiTheme="minorHAnsi" w:cstheme="minorHAnsi"/>
          <w:sz w:val="28"/>
          <w:szCs w:val="28"/>
        </w:rPr>
      </w:pPr>
    </w:p>
    <w:p>
      <w:pPr>
        <w:numPr>
          <w:ilvl w:val="0"/>
          <w:numId w:val="7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 a která je celoročně neobývaná a zároveň je poplatníkem dle čl. 2 odst. 1 písm. a). Osvobození je poskytováno toliko z titulu vlastnictví k dané nemovitosti.</w:t>
      </w:r>
    </w:p>
    <w:p>
      <w:pPr>
        <w:spacing w:before="12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(4)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12"/>
          <w:rFonts w:asciiTheme="minorHAnsi" w:hAnsiTheme="minorHAnsi" w:cstheme="minorHAnsi"/>
          <w:sz w:val="28"/>
          <w:szCs w:val="28"/>
        </w:rPr>
        <w:footnoteReference w:id="10"/>
      </w:r>
    </w:p>
    <w:p>
      <w:pPr>
        <w:pStyle w:val="2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>
      <w:pPr>
        <w:pStyle w:val="23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Poplatkové povinnosti vzniklé před nabytím účinnosti této vyhlášky se posuzují podle dosavadních právních předpisů.</w:t>
      </w:r>
    </w:p>
    <w:p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Zrušuje se Obecně závazná vyhláška obce Obora č.2 /2021 o místním poplatku za provoz systému shromažďování, sběru, přepravy, třídění, využívání a odstraňování komunálních odpadů ze dne 14. 10. 2021.</w:t>
      </w:r>
    </w:p>
    <w:p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>
      <w:pPr>
        <w:pStyle w:val="2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>
      <w:pPr>
        <w:spacing w:before="12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Tato vyhláška nabývá účinnosti dnem 1. 1. 2024</w:t>
      </w:r>
    </w:p>
    <w:p>
      <w:pPr>
        <w:pStyle w:val="23"/>
        <w:jc w:val="both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8"/>
        </w:rPr>
      </w:pPr>
    </w:p>
    <w:p>
      <w:pPr>
        <w:pStyle w:val="23"/>
        <w:jc w:val="both"/>
        <w:rPr>
          <w:rFonts w:hint="default" w:asciiTheme="minorHAnsi" w:hAnsiTheme="minorHAnsi" w:cstheme="minorHAnsi"/>
          <w:color w:val="0070C0"/>
          <w:sz w:val="28"/>
          <w:szCs w:val="28"/>
          <w:lang w:val="cs-CZ"/>
        </w:rPr>
      </w:pPr>
      <w:r>
        <w:rPr>
          <w:rFonts w:hint="default" w:asciiTheme="minorHAnsi" w:hAnsiTheme="minorHAnsi" w:cstheme="minorHAnsi"/>
          <w:color w:val="0070C0"/>
          <w:sz w:val="28"/>
          <w:szCs w:val="28"/>
          <w:lang w:val="cs-CZ"/>
        </w:rPr>
        <w:tab/>
        <w:t/>
      </w:r>
      <w:r>
        <w:rPr>
          <w:rFonts w:hint="default" w:asciiTheme="minorHAnsi" w:hAnsiTheme="minorHAnsi" w:cstheme="minorHAnsi"/>
          <w:color w:val="0070C0"/>
          <w:sz w:val="28"/>
          <w:szCs w:val="28"/>
          <w:lang w:val="cs-CZ"/>
        </w:rPr>
        <w:tab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.r.</w:t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Theme="minorHAnsi" w:hAnsiTheme="minorHAnsi" w:cstheme="minorHAnsi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ab/>
        <w:t>v.r.</w:t>
      </w:r>
    </w:p>
    <w:p>
      <w:pPr>
        <w:pStyle w:val="6"/>
        <w:tabs>
          <w:tab w:val="left" w:pos="1440"/>
          <w:tab w:val="left" w:pos="7020"/>
          <w:tab w:val="right" w:pos="9072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.......................................                                       .........................................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>
      <w:pPr>
        <w:pStyle w:val="6"/>
        <w:tabs>
          <w:tab w:val="left" w:pos="1440"/>
          <w:tab w:val="left" w:pos="7020"/>
          <w:tab w:val="right" w:pos="9072"/>
        </w:tabs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Josef Alexa                                                                 Jaroslava Dobiášová</w:t>
      </w:r>
    </w:p>
    <w:p>
      <w:pPr>
        <w:pStyle w:val="6"/>
        <w:tabs>
          <w:tab w:val="left" w:pos="1080"/>
          <w:tab w:val="left" w:pos="7020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starosta                                                                        místostarosta</w:t>
      </w:r>
    </w:p>
    <w:p>
      <w:pPr>
        <w:pStyle w:val="6"/>
        <w:tabs>
          <w:tab w:val="left" w:pos="1080"/>
          <w:tab w:val="left" w:pos="7020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>
      <w:pPr>
        <w:jc w:val="both"/>
        <w:rPr>
          <w:rFonts w:asciiTheme="minorHAnsi" w:hAnsiTheme="minorHAnsi" w:cstheme="minorHAnsi"/>
          <w:sz w:val="28"/>
          <w:szCs w:val="28"/>
        </w:rPr>
      </w:pPr>
      <w:bookmarkStart w:id="1" w:name="_GoBack"/>
      <w:bookmarkEnd w:id="1"/>
    </w:p>
    <w:sectPr>
      <w:footerReference r:id="rId4" w:type="default"/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11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r>
        <w:separator/>
      </w:r>
    </w:p>
  </w:footnote>
  <w:footnote w:type="continuationSeparator" w:id="23">
    <w:p>
      <w:r>
        <w:continuationSeparator/>
      </w:r>
    </w:p>
  </w:footnote>
  <w:footnote w:id="0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1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Style w:val="12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Style w:val="12"/>
          <w:rFonts w:ascii="Arial" w:hAnsi="Arial" w:cs="Arial"/>
          <w:sz w:val="18"/>
          <w:szCs w:val="18"/>
        </w:rPr>
        <w:t xml:space="preserve"> </w:t>
      </w:r>
      <w:r>
        <w:rPr>
          <w:rStyle w:val="12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Style w:val="12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12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>
      <w:pPr>
        <w:pStyle w:val="13"/>
        <w:jc w:val="both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8">
    <w:p>
      <w:pPr>
        <w:pStyle w:val="13"/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9">
    <w:p>
      <w:pPr>
        <w:pStyle w:val="13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0">
    <w:p>
      <w:pPr>
        <w:pStyle w:val="13"/>
        <w:rPr>
          <w:rFonts w:ascii="Arial" w:hAnsi="Arial" w:cs="Arial"/>
          <w:sz w:val="18"/>
          <w:szCs w:val="18"/>
        </w:rPr>
      </w:pPr>
      <w:r>
        <w:rPr>
          <w:rStyle w:val="1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00FEB"/>
    <w:multiLevelType w:val="multilevel"/>
    <w:tmpl w:val="3AD00FEB"/>
    <w:lvl w:ilvl="0" w:tentative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CA70E67"/>
    <w:multiLevelType w:val="multilevel"/>
    <w:tmpl w:val="3CA70E67"/>
    <w:lvl w:ilvl="0" w:tentative="0">
      <w:start w:val="1"/>
      <w:numFmt w:val="decimal"/>
      <w:pStyle w:val="24"/>
      <w:lvlText w:val="(%1)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2">
    <w:nsid w:val="45407508"/>
    <w:multiLevelType w:val="multilevel"/>
    <w:tmpl w:val="45407508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3">
    <w:nsid w:val="4788689C"/>
    <w:multiLevelType w:val="multilevel"/>
    <w:tmpl w:val="4788689C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4">
    <w:nsid w:val="4E5604D3"/>
    <w:multiLevelType w:val="multilevel"/>
    <w:tmpl w:val="4E5604D3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5">
    <w:nsid w:val="4FB75E97"/>
    <w:multiLevelType w:val="multilevel"/>
    <w:tmpl w:val="4FB75E97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5E4F5772"/>
    <w:multiLevelType w:val="multilevel"/>
    <w:tmpl w:val="5E4F5772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7">
    <w:nsid w:val="64ED12F7"/>
    <w:multiLevelType w:val="multilevel"/>
    <w:tmpl w:val="64ED12F7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8">
    <w:nsid w:val="7B9564A9"/>
    <w:multiLevelType w:val="multilevel"/>
    <w:tmpl w:val="7B9564A9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footnotePr>
    <w:footnote w:id="22"/>
    <w:footnote w:id="2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1266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5319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E19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F8C"/>
    <w:rsid w:val="00420423"/>
    <w:rsid w:val="00420943"/>
    <w:rsid w:val="00421292"/>
    <w:rsid w:val="00421C92"/>
    <w:rsid w:val="0042639F"/>
    <w:rsid w:val="004443A9"/>
    <w:rsid w:val="004469CF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272E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7BE0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5AA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663E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E6D"/>
    <w:rsid w:val="008123FB"/>
    <w:rsid w:val="008148C5"/>
    <w:rsid w:val="00821399"/>
    <w:rsid w:val="00824269"/>
    <w:rsid w:val="0082642B"/>
    <w:rsid w:val="00826D2C"/>
    <w:rsid w:val="00831C1A"/>
    <w:rsid w:val="00831D58"/>
    <w:rsid w:val="00836A0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859"/>
    <w:rsid w:val="00A03904"/>
    <w:rsid w:val="00A05EA6"/>
    <w:rsid w:val="00A318A9"/>
    <w:rsid w:val="00A32AB3"/>
    <w:rsid w:val="00A418F6"/>
    <w:rsid w:val="00A427B9"/>
    <w:rsid w:val="00A44A78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76D"/>
    <w:rsid w:val="00BC17DA"/>
    <w:rsid w:val="00BC3CDA"/>
    <w:rsid w:val="00BE129A"/>
    <w:rsid w:val="00BE5A16"/>
    <w:rsid w:val="00BF1BC6"/>
    <w:rsid w:val="00C035A6"/>
    <w:rsid w:val="00C1031D"/>
    <w:rsid w:val="00C119A6"/>
    <w:rsid w:val="00C158F3"/>
    <w:rsid w:val="00C17467"/>
    <w:rsid w:val="00C21A46"/>
    <w:rsid w:val="00C2380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BCA"/>
    <w:rsid w:val="00C90A6F"/>
    <w:rsid w:val="00C94444"/>
    <w:rsid w:val="00C96CFF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00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6AA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522B4049"/>
    <w:rsid w:val="7E8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jc w:val="both"/>
      <w:outlineLvl w:val="1"/>
    </w:pPr>
    <w:rPr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0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0"/>
    <w:pPr>
      <w:spacing w:after="120"/>
    </w:pPr>
  </w:style>
  <w:style w:type="paragraph" w:styleId="7">
    <w:name w:val="Body Text Indent"/>
    <w:basedOn w:val="1"/>
    <w:link w:val="17"/>
    <w:qFormat/>
    <w:uiPriority w:val="0"/>
    <w:pPr>
      <w:ind w:left="708" w:firstLine="357"/>
      <w:jc w:val="both"/>
    </w:pPr>
  </w:style>
  <w:style w:type="character" w:styleId="8">
    <w:name w:val="annotation reference"/>
    <w:qFormat/>
    <w:uiPriority w:val="0"/>
    <w:rPr>
      <w:sz w:val="16"/>
      <w:szCs w:val="16"/>
    </w:rPr>
  </w:style>
  <w:style w:type="paragraph" w:styleId="9">
    <w:name w:val="annotation text"/>
    <w:basedOn w:val="1"/>
    <w:link w:val="28"/>
    <w:qFormat/>
    <w:uiPriority w:val="0"/>
    <w:rPr>
      <w:sz w:val="20"/>
      <w:szCs w:val="20"/>
    </w:rPr>
  </w:style>
  <w:style w:type="paragraph" w:styleId="10">
    <w:name w:val="annotation subject"/>
    <w:basedOn w:val="9"/>
    <w:next w:val="9"/>
    <w:link w:val="29"/>
    <w:qFormat/>
    <w:uiPriority w:val="0"/>
    <w:rPr>
      <w:b/>
      <w:bCs/>
    </w:rPr>
  </w:style>
  <w:style w:type="paragraph" w:styleId="11">
    <w:name w:val="footer"/>
    <w:basedOn w:val="1"/>
    <w:link w:val="25"/>
    <w:qFormat/>
    <w:uiPriority w:val="99"/>
    <w:pPr>
      <w:tabs>
        <w:tab w:val="center" w:pos="4536"/>
        <w:tab w:val="right" w:pos="9072"/>
      </w:tabs>
    </w:pPr>
  </w:style>
  <w:style w:type="character" w:styleId="12">
    <w:name w:val="footnote reference"/>
    <w:semiHidden/>
    <w:uiPriority w:val="0"/>
    <w:rPr>
      <w:vertAlign w:val="superscript"/>
    </w:rPr>
  </w:style>
  <w:style w:type="paragraph" w:styleId="13">
    <w:name w:val="footnote text"/>
    <w:basedOn w:val="1"/>
    <w:link w:val="20"/>
    <w:semiHidden/>
    <w:qFormat/>
    <w:uiPriority w:val="0"/>
    <w:rPr>
      <w:sz w:val="20"/>
      <w:szCs w:val="20"/>
    </w:rPr>
  </w:style>
  <w:style w:type="paragraph" w:styleId="14">
    <w:name w:val="header"/>
    <w:basedOn w:val="1"/>
    <w:link w:val="18"/>
    <w:qFormat/>
    <w:uiPriority w:val="0"/>
    <w:pPr>
      <w:tabs>
        <w:tab w:val="center" w:pos="4536"/>
        <w:tab w:val="right" w:pos="9072"/>
      </w:tabs>
    </w:p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6">
    <w:name w:val="Nadpis 2 Char"/>
    <w:link w:val="2"/>
    <w:semiHidden/>
    <w:qFormat/>
    <w:uiPriority w:val="0"/>
    <w:rPr>
      <w:sz w:val="24"/>
      <w:szCs w:val="24"/>
      <w:u w:val="single"/>
      <w:lang w:val="cs-CZ" w:eastAsia="cs-CZ" w:bidi="ar-SA"/>
    </w:rPr>
  </w:style>
  <w:style w:type="character" w:customStyle="1" w:styleId="17">
    <w:name w:val="Základní text odsazený Char"/>
    <w:link w:val="7"/>
    <w:semiHidden/>
    <w:uiPriority w:val="0"/>
    <w:rPr>
      <w:sz w:val="24"/>
      <w:szCs w:val="24"/>
      <w:lang w:val="cs-CZ" w:eastAsia="cs-CZ" w:bidi="ar-SA"/>
    </w:rPr>
  </w:style>
  <w:style w:type="character" w:customStyle="1" w:styleId="18">
    <w:name w:val="Záhlaví Char"/>
    <w:link w:val="14"/>
    <w:semiHidden/>
    <w:qFormat/>
    <w:uiPriority w:val="0"/>
    <w:rPr>
      <w:sz w:val="24"/>
      <w:szCs w:val="24"/>
      <w:lang w:val="cs-CZ" w:eastAsia="cs-CZ" w:bidi="ar-SA"/>
    </w:rPr>
  </w:style>
  <w:style w:type="character" w:customStyle="1" w:styleId="19">
    <w:name w:val="Základní text Char"/>
    <w:link w:val="6"/>
    <w:qFormat/>
    <w:uiPriority w:val="0"/>
    <w:rPr>
      <w:sz w:val="24"/>
      <w:szCs w:val="24"/>
      <w:lang w:val="cs-CZ" w:eastAsia="cs-CZ" w:bidi="ar-SA"/>
    </w:rPr>
  </w:style>
  <w:style w:type="character" w:customStyle="1" w:styleId="20">
    <w:name w:val="Text pozn. pod čarou Char"/>
    <w:link w:val="13"/>
    <w:semiHidden/>
    <w:qFormat/>
    <w:uiPriority w:val="0"/>
    <w:rPr>
      <w:lang w:val="cs-CZ" w:eastAsia="cs-CZ" w:bidi="ar-SA"/>
    </w:rPr>
  </w:style>
  <w:style w:type="paragraph" w:customStyle="1" w:styleId="21">
    <w:name w:val="název zákona"/>
    <w:basedOn w:val="15"/>
    <w:qFormat/>
    <w:uiPriority w:val="0"/>
    <w:rPr>
      <w:rFonts w:ascii="Cambria" w:hAnsi="Cambria" w:cs="Cambria"/>
    </w:rPr>
  </w:style>
  <w:style w:type="paragraph" w:customStyle="1" w:styleId="22">
    <w:name w:val="Čísla článků"/>
    <w:basedOn w:val="1"/>
    <w:uiPriority w:val="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23">
    <w:name w:val="Názvy článků"/>
    <w:basedOn w:val="22"/>
    <w:qFormat/>
    <w:uiPriority w:val="0"/>
    <w:pPr>
      <w:spacing w:before="60" w:after="160"/>
    </w:pPr>
  </w:style>
  <w:style w:type="paragraph" w:customStyle="1" w:styleId="24">
    <w:name w:val="Oddstavce v článcích"/>
    <w:basedOn w:val="1"/>
    <w:next w:val="1"/>
    <w:qFormat/>
    <w:uiPriority w:val="0"/>
    <w:pPr>
      <w:keepLines/>
      <w:numPr>
        <w:ilvl w:val="0"/>
        <w:numId w:val="1"/>
      </w:numPr>
      <w:spacing w:after="60"/>
      <w:jc w:val="both"/>
    </w:pPr>
  </w:style>
  <w:style w:type="character" w:customStyle="1" w:styleId="25">
    <w:name w:val="Zápatí Char"/>
    <w:link w:val="11"/>
    <w:qFormat/>
    <w:uiPriority w:val="99"/>
    <w:rPr>
      <w:sz w:val="24"/>
      <w:szCs w:val="24"/>
    </w:rPr>
  </w:style>
  <w:style w:type="paragraph" w:customStyle="1" w:styleId="26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8">
    <w:name w:val="Text komentáře Char"/>
    <w:basedOn w:val="3"/>
    <w:link w:val="9"/>
    <w:qFormat/>
    <w:uiPriority w:val="0"/>
  </w:style>
  <w:style w:type="character" w:customStyle="1" w:styleId="29">
    <w:name w:val="Předmět komentáře Char"/>
    <w:link w:val="10"/>
    <w:qFormat/>
    <w:uiPriority w:val="0"/>
    <w:rPr>
      <w:b/>
      <w:bCs/>
    </w:rPr>
  </w:style>
  <w:style w:type="character" w:customStyle="1" w:styleId="30">
    <w:name w:val="Text bubliny Char"/>
    <w:link w:val="5"/>
    <w:qFormat/>
    <w:uiPriority w:val="0"/>
    <w:rPr>
      <w:rFonts w:ascii="Segoe UI" w:hAnsi="Segoe UI" w:cs="Segoe UI"/>
      <w:sz w:val="18"/>
      <w:szCs w:val="18"/>
    </w:rPr>
  </w:style>
  <w:style w:type="paragraph" w:styleId="31">
    <w:name w:val="List Paragraph"/>
    <w:basedOn w:val="1"/>
    <w:qFormat/>
    <w:uiPriority w:val="34"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customStyle="1" w:styleId="3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Ministerstvo financí</Company>
  <Pages>1</Pages>
  <Words>764</Words>
  <Characters>4514</Characters>
  <Lines>37</Lines>
  <Paragraphs>10</Paragraphs>
  <TotalTime>68</TotalTime>
  <ScaleCrop>false</ScaleCrop>
  <LinksUpToDate>false</LinksUpToDate>
  <CharactersWithSpaces>5268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2023-08-03T12:20:00Z</dcterms:created>
  <dc:creator>Mgr. Lukáš Toman</dc:creator>
  <cp:lastModifiedBy>Obec Obora</cp:lastModifiedBy>
  <cp:lastPrinted>2023-09-02T14:38:00Z</cp:lastPrinted>
  <dcterms:modified xsi:type="dcterms:W3CDTF">2023-11-14T15:49:26Z</dcterms:modified>
  <dc:title>Metodický materiál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B4206E3A922F4283B7D95C48F8095D5E_13</vt:lpwstr>
  </property>
</Properties>
</file>