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1C" w:rsidRPr="00934E5D" w:rsidRDefault="00AF2E63" w:rsidP="00DD5448">
      <w:pPr>
        <w:pStyle w:val="OZV"/>
      </w:pPr>
      <w:r>
        <w:t>Nařízení města</w:t>
      </w:r>
      <w:r w:rsidR="003D7A1C" w:rsidRPr="00934E5D">
        <w:t xml:space="preserve"> č. </w:t>
      </w:r>
      <w:r w:rsidR="008368E3">
        <w:t>1</w:t>
      </w:r>
      <w:r w:rsidR="003D7A1C" w:rsidRPr="00934E5D">
        <w:t>/20</w:t>
      </w:r>
      <w:r>
        <w:t>2</w:t>
      </w:r>
      <w:r w:rsidR="008368E3">
        <w:t>3</w:t>
      </w:r>
    </w:p>
    <w:p w:rsidR="00AF2E63" w:rsidRPr="00AF2E63" w:rsidRDefault="003D7A1C" w:rsidP="00AF2E63">
      <w:pPr>
        <w:pStyle w:val="OZVnzev"/>
      </w:pPr>
      <w:r w:rsidRPr="00F12D58">
        <w:t>města Bakov nad Jizerou</w:t>
      </w:r>
      <w:r w:rsidR="00AF2E63">
        <w:t xml:space="preserve">, </w:t>
      </w:r>
      <w:r w:rsidR="00AF2E63" w:rsidRPr="00AF2E63">
        <w:t>kterým se vydává</w:t>
      </w:r>
    </w:p>
    <w:p w:rsidR="003D7A1C" w:rsidRPr="00E81265" w:rsidRDefault="00AF2E63" w:rsidP="00AF2E63">
      <w:pPr>
        <w:pStyle w:val="OZV"/>
        <w:rPr>
          <w:sz w:val="18"/>
          <w:szCs w:val="18"/>
        </w:rPr>
      </w:pPr>
      <w:r w:rsidRPr="00AF2E63">
        <w:t>Tržní řád</w:t>
      </w:r>
    </w:p>
    <w:p w:rsidR="00AF2E63" w:rsidRPr="00AF2E63" w:rsidRDefault="00AF2E63" w:rsidP="00AF2E63">
      <w:pPr>
        <w:pStyle w:val="text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Rada města Bakov nad Jizerou se na svém zasedání dne 10. 2. 2023 usnesením č. R124/3-2023, usnesla vydat na základě ustanovení § 18 zákona č. 455/1991 Sb., o živnostenském podnikání (živnostenský zákon), ve znění pozdějších předpisů, a v souladu s ustanovením § 11 odst. 1 a § 102 odst. 2 písm. d) zákona č. 128/2000 Sb., o obcích (obecní zřízení), ve znění pozdějších předpisů, toto nařízení: </w:t>
      </w:r>
    </w:p>
    <w:p w:rsidR="00AF2E63" w:rsidRPr="00AF2E63" w:rsidRDefault="00AF2E63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1</w:t>
      </w:r>
    </w:p>
    <w:p w:rsidR="00AF2E63" w:rsidRPr="00AF2E63" w:rsidRDefault="00AF2E63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Úvodní ustanovení</w:t>
      </w:r>
    </w:p>
    <w:p w:rsidR="000A646E" w:rsidRPr="00AF2E63" w:rsidRDefault="00AF2E63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Účelem tohoto nařízení města, kterým se vydává tržní řád (dále jen „nařízení“), je stanovit podmínky, za kterých lze uskutečňovat nabídku, prodej zb</w:t>
      </w:r>
      <w:r w:rsidR="00DD66FB">
        <w:rPr>
          <w:rStyle w:val="textChar"/>
          <w:color w:val="auto"/>
        </w:rPr>
        <w:t>oží (dále jen „prodej zboží“) a </w:t>
      </w:r>
      <w:r w:rsidRPr="00AF2E63">
        <w:rPr>
          <w:rStyle w:val="textChar"/>
          <w:color w:val="auto"/>
        </w:rPr>
        <w:t>poskytovat služby mimo provozovnu určenou k tomuto účelu kolaudačním souhlasem nebo jiným z</w:t>
      </w:r>
      <w:r w:rsidR="003A177B">
        <w:rPr>
          <w:rStyle w:val="textChar"/>
          <w:color w:val="auto"/>
        </w:rPr>
        <w:t>působem podle zvláštního zákona</w:t>
      </w:r>
      <w:r w:rsidR="00CD62A5">
        <w:rPr>
          <w:rStyle w:val="Odkaznavysvtlivky"/>
        </w:rPr>
        <w:endnoteReference w:id="1"/>
      </w:r>
      <w:r w:rsidR="00CD62A5" w:rsidRPr="00AF2E63">
        <w:rPr>
          <w:rStyle w:val="textChar"/>
          <w:color w:val="auto"/>
        </w:rPr>
        <w:t xml:space="preserve"> </w:t>
      </w:r>
      <w:r w:rsidR="000A646E" w:rsidRPr="00AF2E63">
        <w:rPr>
          <w:rStyle w:val="textChar"/>
          <w:color w:val="auto"/>
        </w:rPr>
        <w:t>(dále jen „provozovna“) na území města Bakov nad Jizerou včetně jeho místních částí (dále jen „města“).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Nařízení je závazné pro celé území města bez ohledu na charakt</w:t>
      </w:r>
      <w:r>
        <w:rPr>
          <w:rStyle w:val="textChar"/>
          <w:color w:val="auto"/>
        </w:rPr>
        <w:t>er prostranství a vlastnictví k </w:t>
      </w:r>
      <w:r w:rsidRPr="00AF2E63">
        <w:rPr>
          <w:rStyle w:val="textChar"/>
          <w:color w:val="auto"/>
        </w:rPr>
        <w:t>němu.</w:t>
      </w:r>
      <w:r>
        <w:rPr>
          <w:rStyle w:val="textChar"/>
          <w:color w:val="auto"/>
        </w:rPr>
        <w:t xml:space="preserve"> 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2</w:t>
      </w: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Vymezení pojmů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  <w:r w:rsidRPr="00AF2E63">
        <w:rPr>
          <w:rStyle w:val="textChar"/>
          <w:color w:val="auto"/>
        </w:rPr>
        <w:t>Pro účely tohoto nařízení se rozumí: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prodejním místem jednotlivé konkrétní místo, využívané pro nabídku, prodej zboží nebo poskytování služeb, včetně prostoru pro umístění prodejního zařízení, zboží, obalů, manipulačního prostoru apod.,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místo pro konání trhu vymezený, v prodejní době veřejně přístupný prostor mimo provozovnu, na kterém se konají příležitostné akce, při kterých je prodáváno zboží nebo poskytovány služby (např. vánoční trhy, jarmarky, slavnosti),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předsunutým prodejním místem prostranství mimo provozovnu, na kterém je na zpevněném povrchu umístěno zařízení pro prodej zboží nebo poskytování služeb stejného nebo obdobného druhu jako v provozovně, se kterou těsně prostorově sousedí, funkčně souvisí a má stejného provozovatele,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restaurační předzahrádkou prostranství, které je využíváno pro poskytování služeb (zejm. hostinské činnosti, cukrárny, občerstvení apod.), na němž je na zpevněném povrchu umístěno </w:t>
      </w:r>
      <w:r w:rsidRPr="00AF2E63">
        <w:rPr>
          <w:rStyle w:val="textChar"/>
          <w:color w:val="auto"/>
        </w:rPr>
        <w:lastRenderedPageBreak/>
        <w:t xml:space="preserve">zařízení pro poskytování těchto služeb, a to u provozovny, se kterou těsně prostorově sousedí, funkčně souvisí a má stejného provozovatele,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>pojízdnou prodejnou</w:t>
      </w:r>
      <w:r w:rsidR="00CD62A5">
        <w:rPr>
          <w:rStyle w:val="Odkaznavysvtlivky"/>
        </w:rPr>
        <w:endnoteReference w:id="2"/>
      </w:r>
      <w:r w:rsidR="00CD62A5" w:rsidRPr="00AF2E63">
        <w:rPr>
          <w:rStyle w:val="textChar"/>
          <w:color w:val="auto"/>
        </w:rPr>
        <w:t xml:space="preserve"> mobilní zařízení určené k prodeji zboží schopné pohybu a samostatné funkce, které splňuje technické požadavky podle zvláštních předpisů</w:t>
      </w:r>
      <w:r w:rsidR="00CD62A5">
        <w:rPr>
          <w:rStyle w:val="Odkaznavysvtlivky"/>
        </w:rPr>
        <w:endnoteReference w:id="3"/>
      </w:r>
      <w:r w:rsidR="00CD62A5" w:rsidRPr="00AF2E63">
        <w:rPr>
          <w:rStyle w:val="textChar"/>
          <w:color w:val="auto"/>
        </w:rPr>
        <w:t xml:space="preserve"> a zároveň odpovídá hygienickým předpisům</w:t>
      </w:r>
      <w:r w:rsidR="00CD62A5">
        <w:rPr>
          <w:rStyle w:val="Odkaznavysvtlivky"/>
        </w:rPr>
        <w:endnoteReference w:id="4"/>
      </w:r>
      <w:r w:rsidR="00CD62A5" w:rsidRPr="00AF2E63">
        <w:rPr>
          <w:rStyle w:val="textChar"/>
          <w:color w:val="auto"/>
        </w:rPr>
        <w:t>,</w:t>
      </w:r>
      <w:r w:rsidRPr="00AF2E63">
        <w:rPr>
          <w:rStyle w:val="textChar"/>
          <w:color w:val="auto"/>
        </w:rPr>
        <w:t xml:space="preserve">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podomním prodejem prodej zboží nebo poskytování služeb bez předchozí objednávky uživatelům domů a bytových jednotek v objektech určených k bydlení, </w:t>
      </w:r>
    </w:p>
    <w:p w:rsidR="000A646E" w:rsidRPr="00AF2E63" w:rsidRDefault="000A646E" w:rsidP="008A2BC8">
      <w:pPr>
        <w:pStyle w:val="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>pochůzkovým prodejem prodej zboží nebo poskytování služeb mimo provozovnu formou pochůzky po veřejném prostranství včetně prodeje ze zařízení k tomu účelu určenému, jako jsou pojízdné vozíky apod.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3</w:t>
      </w:r>
    </w:p>
    <w:p w:rsidR="000A646E" w:rsidRPr="00AF2E63" w:rsidRDefault="000A646E" w:rsidP="00AF2E63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</w:t>
      </w:r>
    </w:p>
    <w:p w:rsidR="000A646E" w:rsidRPr="008A2BC8" w:rsidRDefault="000A646E" w:rsidP="008A2BC8">
      <w:pPr>
        <w:pStyle w:val="IOdst1"/>
        <w:numPr>
          <w:ilvl w:val="0"/>
          <w:numId w:val="14"/>
        </w:numPr>
        <w:rPr>
          <w:rStyle w:val="textChar"/>
          <w:color w:val="auto"/>
        </w:rPr>
      </w:pPr>
      <w:r w:rsidRPr="008A2BC8">
        <w:rPr>
          <w:rStyle w:val="textChar"/>
          <w:color w:val="auto"/>
        </w:rPr>
        <w:t xml:space="preserve">Na území města je možno mimo provozovnu prodávat zboží a poskytovat služby na prodejních místech, na místech pro umístění pojízdných prodejen a na místě určeném pro konání trhů, uvedených v příloze č. 1 tohoto nařízení (dále jen „místa pro prodej zboží a poskytování služeb“). 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Kapacita jednotlivých prodejních míst a místa určeného pro konání trhů je stanovena v příloze č. 1 tohoto nařízení.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 musí být vybavena odpovídajícím prodejním zařízením a dostatečným množstvím nádob na odpadky.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 musí být vybavena takovým osvětlením, které umožní spotřebiteli prohlédnout prodávané zboží.</w:t>
      </w:r>
    </w:p>
    <w:p w:rsidR="000A646E" w:rsidRPr="00AF2E63" w:rsidRDefault="000A646E" w:rsidP="008A2BC8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Místa pro prodej zboží a poskytování služeb musí být vybavena tak, aby byl zajištěn jejich řádný a nerušený provoz, mezi prodejními místy musí být vytvořen prostor pro pohyb zákazní</w:t>
      </w:r>
      <w:r>
        <w:rPr>
          <w:rStyle w:val="textChar"/>
          <w:color w:val="auto"/>
        </w:rPr>
        <w:t>ků a </w:t>
      </w:r>
      <w:r w:rsidRPr="00AF2E63">
        <w:rPr>
          <w:rStyle w:val="textChar"/>
          <w:color w:val="auto"/>
        </w:rPr>
        <w:t>zásobování.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4</w:t>
      </w: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Doba prodeje zboží a poskytování služeb na místech pro prodej zboží a poskytování služeb (provozní doba) 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  <w:r w:rsidRPr="00AF2E63">
        <w:rPr>
          <w:rStyle w:val="textChar"/>
          <w:color w:val="auto"/>
        </w:rPr>
        <w:t>Na všech prodejních místech se stanoví maximální provozní doba od 8:00 do 22:00 hodin.</w:t>
      </w:r>
    </w:p>
    <w:p w:rsidR="000A646E" w:rsidRPr="00AF2E63" w:rsidRDefault="000A646E" w:rsidP="00AF2E63">
      <w:pPr>
        <w:pStyle w:val="text"/>
        <w:rPr>
          <w:rStyle w:val="textChar"/>
          <w:color w:val="auto"/>
        </w:rPr>
      </w:pP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5</w:t>
      </w:r>
    </w:p>
    <w:p w:rsidR="000A646E" w:rsidRPr="00AF2E63" w:rsidRDefault="000A646E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Pravidla k zajištění řádného provozu míst pro nabídku, prodej zboží a poskytování služeb</w:t>
      </w:r>
    </w:p>
    <w:p w:rsidR="000A646E" w:rsidRPr="008A2BC8" w:rsidRDefault="000A646E" w:rsidP="008A2BC8">
      <w:pPr>
        <w:pStyle w:val="IOdst1"/>
        <w:numPr>
          <w:ilvl w:val="0"/>
          <w:numId w:val="15"/>
        </w:numPr>
        <w:rPr>
          <w:rStyle w:val="textChar"/>
          <w:color w:val="auto"/>
        </w:rPr>
      </w:pPr>
      <w:r w:rsidRPr="008A2BC8">
        <w:rPr>
          <w:rStyle w:val="textChar"/>
          <w:color w:val="auto"/>
        </w:rPr>
        <w:t>Provozovatel trhu a přiměřeně ostatních míst pro prodej zboží a poskytování služeb je povinen:</w:t>
      </w:r>
    </w:p>
    <w:p w:rsidR="000A646E" w:rsidRPr="00AF2E63" w:rsidRDefault="000A646E" w:rsidP="00DD66FB">
      <w:pPr>
        <w:pStyle w:val="IIOdsta"/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lastRenderedPageBreak/>
        <w:t>zveřejnit tržní řád, prodávaný sortiment zboží, druh poskytované služby, prodejní dobu, popřípadě jméno správce, byl-li určen provozovatelem,</w:t>
      </w:r>
    </w:p>
    <w:p w:rsidR="000A646E" w:rsidRPr="00AF2E63" w:rsidRDefault="000A646E" w:rsidP="00DD66FB">
      <w:pPr>
        <w:pStyle w:val="IIOdsta"/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určit prodejcům zboží a poskytovatelům služeb konkrétní prodejní místa,</w:t>
      </w:r>
    </w:p>
    <w:p w:rsidR="000A646E" w:rsidRPr="00AF2E63" w:rsidRDefault="000A646E" w:rsidP="00DD66FB">
      <w:pPr>
        <w:pStyle w:val="IIOdsta"/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vyčlenit prostor pro skladování zboží v průběhu prodeje,</w:t>
      </w:r>
    </w:p>
    <w:p w:rsidR="000A646E" w:rsidRPr="00AF2E63" w:rsidRDefault="000A646E" w:rsidP="008A2BC8">
      <w:pPr>
        <w:pStyle w:val="IIOdsta"/>
        <w:rPr>
          <w:rStyle w:val="textChar"/>
          <w:color w:val="auto"/>
        </w:rPr>
      </w:pPr>
      <w:r w:rsidRPr="00AF2E63">
        <w:rPr>
          <w:rStyle w:val="textChar"/>
          <w:color w:val="auto"/>
        </w:rPr>
        <w:t>vybavit trh nádobami na odpad.</w:t>
      </w:r>
    </w:p>
    <w:p w:rsidR="000A646E" w:rsidRDefault="000A646E" w:rsidP="00CC2BB6">
      <w:pPr>
        <w:pStyle w:val="IOdst1"/>
        <w:rPr>
          <w:rStyle w:val="textChar"/>
          <w:color w:val="auto"/>
        </w:rPr>
      </w:pPr>
      <w:r w:rsidRPr="00DD66FB">
        <w:rPr>
          <w:rStyle w:val="textChar"/>
          <w:color w:val="auto"/>
        </w:rPr>
        <w:t xml:space="preserve">Prodejce a poskytovatel služeb je povinen: </w:t>
      </w:r>
    </w:p>
    <w:p w:rsidR="00CD62A5" w:rsidRDefault="000A646E" w:rsidP="00DD66FB">
      <w:pPr>
        <w:pStyle w:val="text"/>
        <w:numPr>
          <w:ilvl w:val="0"/>
          <w:numId w:val="19"/>
        </w:numPr>
        <w:ind w:left="1434" w:hanging="357"/>
        <w:rPr>
          <w:rStyle w:val="textChar"/>
          <w:color w:val="auto"/>
        </w:rPr>
      </w:pPr>
      <w:r w:rsidRPr="00DD66FB">
        <w:rPr>
          <w:rStyle w:val="textChar"/>
          <w:color w:val="auto"/>
        </w:rPr>
        <w:t xml:space="preserve">udržovat místo v čistotě a pořádku a po ukončení prodeje je zanechat uklizené. Likvidaci odpadu zajistí </w:t>
      </w:r>
      <w:r>
        <w:rPr>
          <w:rStyle w:val="textChar"/>
          <w:color w:val="auto"/>
        </w:rPr>
        <w:t>v souladu se zákonem o odpadech</w:t>
      </w:r>
      <w:r w:rsidR="00CD62A5">
        <w:rPr>
          <w:rStyle w:val="Odkaznavysvtlivky"/>
        </w:rPr>
        <w:endnoteReference w:id="5"/>
      </w:r>
      <w:r w:rsidR="00CD62A5" w:rsidRPr="00DD66FB">
        <w:rPr>
          <w:rStyle w:val="textChar"/>
          <w:color w:val="auto"/>
        </w:rPr>
        <w:t>,</w:t>
      </w:r>
    </w:p>
    <w:p w:rsidR="00CD62A5" w:rsidRPr="00DD66FB" w:rsidRDefault="00CD62A5" w:rsidP="00DD66FB">
      <w:pPr>
        <w:pStyle w:val="text"/>
        <w:numPr>
          <w:ilvl w:val="0"/>
          <w:numId w:val="19"/>
        </w:numPr>
        <w:ind w:left="1434" w:hanging="357"/>
        <w:rPr>
          <w:rStyle w:val="textChar"/>
          <w:color w:val="auto"/>
        </w:rPr>
      </w:pPr>
      <w:r w:rsidRPr="00DD66FB">
        <w:rPr>
          <w:rStyle w:val="textChar"/>
          <w:color w:val="auto"/>
        </w:rPr>
        <w:t>zajistit si dostatečný počet nádob na odpad vznikající v souvislosti s prodejem zboží nebo poskytováním služeb.</w:t>
      </w:r>
    </w:p>
    <w:p w:rsidR="00CD62A5" w:rsidRPr="00AF2E63" w:rsidRDefault="00CD62A5" w:rsidP="00AF2E63">
      <w:pPr>
        <w:pStyle w:val="text"/>
        <w:rPr>
          <w:rStyle w:val="textChar"/>
          <w:color w:val="auto"/>
        </w:rPr>
      </w:pP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6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Formy prodeje zboží a poskytování služeb, na které se toto nařízení nevztahuje</w:t>
      </w:r>
    </w:p>
    <w:p w:rsidR="00CD62A5" w:rsidRPr="00DD66FB" w:rsidRDefault="00CD62A5" w:rsidP="00DD66FB">
      <w:pPr>
        <w:pStyle w:val="IOdst1"/>
        <w:numPr>
          <w:ilvl w:val="0"/>
          <w:numId w:val="20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>Toto nařízení (s výjimkou článku 6) se nevztahuje na prodej zboží a poskytování služeb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mimo provozovnu při slavnostech, sportovních podnicích nebo podobných akcích, na vánoční prodej ryb, stromků, jmelí a chvojí a velikonoční prodej kraslic a pomlázek. 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Za vánoční prodej ryb, stromků, jmelí a chvojí se pro účely tohoto nařízení pokládá jejich prodej týden před první adventní nedělí do 24. prosince kalendářního roku. </w:t>
      </w:r>
    </w:p>
    <w:p w:rsidR="00CD62A5" w:rsidRPr="00AF2E63" w:rsidRDefault="00CD62A5" w:rsidP="00AF2E63">
      <w:pPr>
        <w:pStyle w:val="text"/>
        <w:rPr>
          <w:rStyle w:val="textChar"/>
          <w:color w:val="auto"/>
        </w:rPr>
      </w:pP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7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Zakázané formy prodeje zboží a poskytování služeb</w:t>
      </w:r>
    </w:p>
    <w:p w:rsidR="00CD62A5" w:rsidRPr="00DD66FB" w:rsidRDefault="00CD62A5" w:rsidP="00DD66FB">
      <w:pPr>
        <w:pStyle w:val="IOdst1"/>
        <w:numPr>
          <w:ilvl w:val="0"/>
          <w:numId w:val="21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>Mimo místa uvedená v čl. 3 a 4 tohoto nařízení je prodej zboží nebo poskytování služeb mimo provozovnu na území města zakázán.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Podomní prodej je na území města zakázán.</w:t>
      </w:r>
    </w:p>
    <w:p w:rsidR="00CD62A5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>Na území města je zakázán pochůzkový prodej s výjimkou:</w:t>
      </w:r>
    </w:p>
    <w:p w:rsidR="00CD62A5" w:rsidRPr="00AF2E63" w:rsidRDefault="00CD62A5" w:rsidP="00DD66FB">
      <w:pPr>
        <w:pStyle w:val="text"/>
        <w:numPr>
          <w:ilvl w:val="0"/>
          <w:numId w:val="18"/>
        </w:numPr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jeho provádění na sportovních akcích,</w:t>
      </w:r>
    </w:p>
    <w:p w:rsidR="00CD62A5" w:rsidRPr="00AF2E63" w:rsidRDefault="00CD62A5" w:rsidP="00DD66FB">
      <w:pPr>
        <w:pStyle w:val="text"/>
        <w:numPr>
          <w:ilvl w:val="0"/>
          <w:numId w:val="18"/>
        </w:numPr>
        <w:ind w:left="1434" w:hanging="357"/>
        <w:rPr>
          <w:rStyle w:val="textChar"/>
          <w:color w:val="auto"/>
        </w:rPr>
      </w:pPr>
      <w:r w:rsidRPr="00AF2E63">
        <w:rPr>
          <w:rStyle w:val="textChar"/>
          <w:color w:val="auto"/>
        </w:rPr>
        <w:t>prodeje předmětů v souvislosti s konáním veřejné sbírky</w:t>
      </w:r>
      <w:r>
        <w:rPr>
          <w:rStyle w:val="Odkaznavysvtlivky"/>
        </w:rPr>
        <w:endnoteReference w:id="6"/>
      </w:r>
      <w:r w:rsidRPr="00AF2E63">
        <w:rPr>
          <w:rStyle w:val="textChar"/>
          <w:color w:val="auto"/>
        </w:rPr>
        <w:t>.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8</w:t>
      </w:r>
    </w:p>
    <w:p w:rsidR="00CD62A5" w:rsidRPr="00AF2E63" w:rsidRDefault="00CD62A5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Kontrola a sankce</w:t>
      </w:r>
    </w:p>
    <w:p w:rsidR="00CD62A5" w:rsidRPr="00DD66FB" w:rsidRDefault="00CD62A5" w:rsidP="00DD66FB">
      <w:pPr>
        <w:pStyle w:val="IOdst1"/>
        <w:numPr>
          <w:ilvl w:val="0"/>
          <w:numId w:val="22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>Kontrolu nad dodržováním tohoto nařízení provádí Městský úřad Bakov nad Jizerou prostřednictvím pověřených zaměstnanců města zařazených do městského úřadu a strážníci městské policie. Tím není dotčeno provádění kontroly orgány státního dozoru podle zvláštních právních předpisů</w:t>
      </w:r>
      <w:r>
        <w:rPr>
          <w:rStyle w:val="Odkaznavysvtlivky"/>
        </w:rPr>
        <w:endnoteReference w:id="7"/>
      </w:r>
      <w:r w:rsidRPr="00DD66FB">
        <w:rPr>
          <w:rStyle w:val="textChar"/>
          <w:color w:val="auto"/>
        </w:rPr>
        <w:t xml:space="preserve"> .</w:t>
      </w:r>
    </w:p>
    <w:p w:rsidR="00AF2E63" w:rsidRPr="00AF2E63" w:rsidRDefault="00CD62A5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lastRenderedPageBreak/>
        <w:t>Porušení tohoto nařízení se postihuje pod</w:t>
      </w:r>
      <w:r>
        <w:rPr>
          <w:rStyle w:val="textChar"/>
          <w:color w:val="auto"/>
        </w:rPr>
        <w:t>le zvláštních právních předpisů</w:t>
      </w:r>
      <w:r>
        <w:rPr>
          <w:rStyle w:val="Odkaznavysvtlivky"/>
        </w:rPr>
        <w:endnoteReference w:id="8"/>
      </w:r>
      <w:r w:rsidRPr="00AF2E63">
        <w:rPr>
          <w:rStyle w:val="textChar"/>
          <w:color w:val="auto"/>
        </w:rPr>
        <w:t xml:space="preserve"> </w:t>
      </w:r>
      <w:r w:rsidR="00AF2E63" w:rsidRPr="00AF2E63">
        <w:rPr>
          <w:rStyle w:val="textChar"/>
          <w:color w:val="auto"/>
        </w:rPr>
        <w:t>.</w:t>
      </w:r>
    </w:p>
    <w:p w:rsidR="00AF2E63" w:rsidRPr="00AF2E63" w:rsidRDefault="00AF2E63" w:rsidP="00AF2E63">
      <w:pPr>
        <w:pStyle w:val="text"/>
        <w:rPr>
          <w:rStyle w:val="textChar"/>
          <w:color w:val="auto"/>
        </w:rPr>
      </w:pPr>
    </w:p>
    <w:p w:rsidR="00AF2E63" w:rsidRPr="00AF2E63" w:rsidRDefault="00AF2E63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Článek 9</w:t>
      </w:r>
    </w:p>
    <w:p w:rsidR="00AF2E63" w:rsidRPr="00AF2E63" w:rsidRDefault="00AF2E63" w:rsidP="0098356A">
      <w:pPr>
        <w:pStyle w:val="lnek"/>
        <w:rPr>
          <w:rStyle w:val="textChar"/>
          <w:color w:val="auto"/>
        </w:rPr>
      </w:pPr>
      <w:r w:rsidRPr="00AF2E63">
        <w:rPr>
          <w:rStyle w:val="textChar"/>
          <w:color w:val="auto"/>
        </w:rPr>
        <w:t>Závěrečná ustanovení</w:t>
      </w:r>
    </w:p>
    <w:p w:rsidR="00AF2E63" w:rsidRPr="00DD66FB" w:rsidRDefault="00AF2E63" w:rsidP="00DD66FB">
      <w:pPr>
        <w:pStyle w:val="IOdst1"/>
        <w:numPr>
          <w:ilvl w:val="0"/>
          <w:numId w:val="23"/>
        </w:numPr>
        <w:rPr>
          <w:rStyle w:val="textChar"/>
          <w:color w:val="auto"/>
        </w:rPr>
      </w:pPr>
      <w:r w:rsidRPr="00DD66FB">
        <w:rPr>
          <w:rStyle w:val="textChar"/>
          <w:color w:val="auto"/>
        </w:rPr>
        <w:t xml:space="preserve">Práva a povinnosti prodejců zboží, poskytovatelů služeb a provozovatelů stanovená zvláštními právními předpisy nejsou tímto nařízením dotčena. </w:t>
      </w:r>
    </w:p>
    <w:p w:rsidR="00AF2E63" w:rsidRPr="00AF2E63" w:rsidRDefault="00AF2E63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 Zrušuje se Nařízení Města Bakov nad Jizerou č. 1/2015, kterým se vydává tržní řád, ze dne 29. 6. 2015 a Nařízení Města Bakov nad Jizerou č. 2/2015, kterým se mění a doplňuje Nařízení města Bakov nad Jizerou č. 1/2015, kterým se vydává tržní řád, ze dne 7. 12. 2015.</w:t>
      </w:r>
    </w:p>
    <w:p w:rsidR="00AF2E63" w:rsidRPr="00AF2E63" w:rsidRDefault="00AF2E63" w:rsidP="00DD66FB">
      <w:pPr>
        <w:pStyle w:val="IOdst1"/>
        <w:rPr>
          <w:rStyle w:val="textChar"/>
          <w:color w:val="auto"/>
        </w:rPr>
      </w:pPr>
      <w:r w:rsidRPr="00AF2E63">
        <w:rPr>
          <w:rStyle w:val="textChar"/>
          <w:color w:val="auto"/>
        </w:rPr>
        <w:t xml:space="preserve">Toto nařízení města nabývá účinnosti patnáctým dnem po jeho vyhlášení. </w:t>
      </w:r>
    </w:p>
    <w:p w:rsidR="003D7A1C" w:rsidRDefault="003D7A1C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Pr="00F12D58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A65BA1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</w:p>
          <w:p w:rsidR="003D7A1C" w:rsidRPr="00311F24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A65BA1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3D083F">
      <w:pPr>
        <w:spacing w:after="200" w:line="259" w:lineRule="auto"/>
      </w:pPr>
    </w:p>
    <w:p w:rsidR="001B74DC" w:rsidRDefault="001B74DC" w:rsidP="001B74DC">
      <w:pPr>
        <w:spacing w:after="200"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257B28" w:rsidRDefault="00257B2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257B28" w:rsidRDefault="00257B2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257B28" w:rsidRDefault="00257B2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  <w:bookmarkStart w:id="1" w:name="_GoBack"/>
      <w:bookmarkEnd w:id="1"/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3F5B58" w:rsidRDefault="003F5B58" w:rsidP="003F5B58">
      <w:pPr>
        <w:spacing w:after="200" w:line="259" w:lineRule="auto"/>
        <w:jc w:val="both"/>
        <w:rPr>
          <w:rFonts w:ascii="Open Sans" w:hAnsi="Open Sans" w:cs="Open Sans"/>
          <w:b/>
          <w:bCs/>
          <w:sz w:val="32"/>
          <w:szCs w:val="32"/>
        </w:rPr>
      </w:pPr>
    </w:p>
    <w:sectPr w:rsidR="003F5B58" w:rsidSect="00DD6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6" w:h="16838" w:code="9"/>
      <w:pgMar w:top="1418" w:right="1701" w:bottom="1134" w:left="1701" w:header="2495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E1" w:rsidRDefault="00FD79E1" w:rsidP="001E3427">
      <w:r>
        <w:separator/>
      </w:r>
    </w:p>
  </w:endnote>
  <w:endnote w:type="continuationSeparator" w:id="0">
    <w:p w:rsidR="00FD79E1" w:rsidRDefault="00FD79E1" w:rsidP="001E3427">
      <w:r>
        <w:continuationSeparator/>
      </w:r>
    </w:p>
  </w:endnote>
  <w:endnote w:id="1">
    <w:p w:rsidR="00CD62A5" w:rsidRPr="003F5B58" w:rsidRDefault="00CD62A5" w:rsidP="007D1BD3">
      <w:pPr>
        <w:pStyle w:val="Textvysvtlivek"/>
        <w:ind w:left="284" w:hanging="284"/>
        <w:rPr>
          <w:rFonts w:ascii="Open Sans" w:hAnsi="Open Sans" w:cs="Open Sans"/>
          <w:i/>
          <w:color w:val="808080" w:themeColor="background1" w:themeShade="80"/>
          <w:sz w:val="14"/>
          <w:szCs w:val="14"/>
        </w:rPr>
      </w:pPr>
      <w:r w:rsidRPr="003F5B58">
        <w:rPr>
          <w:rStyle w:val="Odkaznavysvtlivky"/>
          <w:rFonts w:ascii="Open Sans" w:hAnsi="Open Sans" w:cs="Open Sans"/>
          <w:i/>
          <w:color w:val="808080" w:themeColor="background1" w:themeShade="80"/>
          <w:sz w:val="14"/>
          <w:szCs w:val="14"/>
        </w:rPr>
        <w:endnoteRef/>
      </w:r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 xml:space="preserve"> </w:t>
      </w:r>
      <w:bookmarkStart w:id="0" w:name="_Ref127964357"/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>zákon č. 183/2006 Sb., o územním plánování a stavebním řádu (stavební zákon), ve znění pozdějších předpisů</w:t>
      </w:r>
      <w:bookmarkEnd w:id="0"/>
    </w:p>
  </w:endnote>
  <w:endnote w:id="2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§132 zák. č. 353/2003 Sb., o spotřebních daních, ve znění pozdějších předpisů</w:t>
      </w:r>
    </w:p>
  </w:endnote>
  <w:endnote w:id="3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např. § 16 zák. č. 56/2001 Sb., o podmínkách provozu vozidel na pozemních komunikacích a o změně zák. č. 168/1999 Sb. o pojištění odpovědnosti za škodu způsobenou provozem vozidla a o změně některých souvisejících zákonů (zákon o pojištění odpovědnosti z provozu vozidla), ve znění pozdějších předpisů</w:t>
      </w:r>
    </w:p>
  </w:endnote>
  <w:endnote w:id="4">
    <w:p w:rsidR="00CD62A5" w:rsidRPr="000A646E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např. §11 a 19 zák. č. 110/1997 Sb., ve znění pozdějších předpisů </w:t>
      </w:r>
    </w:p>
  </w:endnote>
  <w:endnote w:id="5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zákon č. 541/2020 Sb., o odpadech, ve znění pozdějších předpisů</w:t>
      </w:r>
    </w:p>
  </w:endnote>
  <w:endnote w:id="6">
    <w:p w:rsidR="00CD62A5" w:rsidRPr="003F5B58" w:rsidRDefault="00CD62A5" w:rsidP="000A646E">
      <w:pPr>
        <w:pStyle w:val="poznmkapodarou"/>
      </w:pPr>
      <w:r w:rsidRPr="003F5B58">
        <w:rPr>
          <w:rStyle w:val="Odkaznavysvtlivky"/>
        </w:rPr>
        <w:endnoteRef/>
      </w:r>
      <w:r w:rsidRPr="003F5B58">
        <w:t xml:space="preserve"> zákon č. 117/2001 Sb., o veřejných sbírkách a o změně některých zákonů (zákon o veřejných sbírkách) </w:t>
      </w:r>
    </w:p>
    <w:p w:rsidR="00CD62A5" w:rsidRPr="007D1BD3" w:rsidRDefault="00CD62A5" w:rsidP="007D1BD3">
      <w:pPr>
        <w:pStyle w:val="Textvysvtlivek"/>
        <w:ind w:left="284" w:hanging="284"/>
        <w:rPr>
          <w:rFonts w:ascii="Open Sans" w:hAnsi="Open Sans" w:cs="Open Sans"/>
          <w:color w:val="808080" w:themeColor="background1" w:themeShade="80"/>
          <w:sz w:val="14"/>
          <w:szCs w:val="14"/>
        </w:rPr>
      </w:pPr>
    </w:p>
  </w:endnote>
  <w:endnote w:id="7">
    <w:p w:rsidR="00CD62A5" w:rsidRPr="003F5B58" w:rsidRDefault="00CD62A5" w:rsidP="007D1BD3">
      <w:pPr>
        <w:pStyle w:val="Default"/>
        <w:ind w:left="284" w:hanging="284"/>
        <w:rPr>
          <w:rFonts w:ascii="Open Sans" w:hAnsi="Open Sans" w:cs="Open Sans"/>
          <w:i/>
          <w:color w:val="808080" w:themeColor="background1" w:themeShade="80"/>
          <w:sz w:val="14"/>
          <w:szCs w:val="14"/>
        </w:rPr>
      </w:pPr>
      <w:r w:rsidRPr="003F5B58">
        <w:rPr>
          <w:rStyle w:val="Odkaznavysvtlivky"/>
          <w:rFonts w:ascii="Open Sans" w:hAnsi="Open Sans" w:cs="Open Sans"/>
          <w:i/>
          <w:color w:val="808080" w:themeColor="background1" w:themeShade="80"/>
          <w:sz w:val="14"/>
          <w:szCs w:val="14"/>
        </w:rPr>
        <w:endnoteRef/>
      </w:r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 xml:space="preserve"> např.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 </w:t>
      </w:r>
    </w:p>
  </w:endnote>
  <w:endnote w:id="8">
    <w:p w:rsidR="00CD62A5" w:rsidRPr="003F5B58" w:rsidRDefault="00CD62A5" w:rsidP="007D1BD3">
      <w:pPr>
        <w:pStyle w:val="Textvysvtlivek"/>
        <w:ind w:left="284" w:hanging="284"/>
        <w:rPr>
          <w:rFonts w:ascii="Open Sans" w:hAnsi="Open Sans" w:cs="Open Sans"/>
          <w:i/>
          <w:color w:val="808080" w:themeColor="background1" w:themeShade="80"/>
          <w:sz w:val="14"/>
          <w:szCs w:val="14"/>
        </w:rPr>
      </w:pPr>
      <w:r w:rsidRPr="003F5B58">
        <w:rPr>
          <w:rStyle w:val="Odkaznavysvtlivky"/>
          <w:rFonts w:ascii="Open Sans" w:hAnsi="Open Sans" w:cs="Open Sans"/>
          <w:i/>
          <w:color w:val="808080" w:themeColor="background1" w:themeShade="80"/>
          <w:sz w:val="14"/>
          <w:szCs w:val="14"/>
        </w:rPr>
        <w:endnoteRef/>
      </w:r>
      <w:r w:rsidRPr="003F5B58">
        <w:rPr>
          <w:rFonts w:ascii="Open Sans" w:hAnsi="Open Sans" w:cs="Open Sans"/>
          <w:i/>
          <w:color w:val="808080" w:themeColor="background1" w:themeShade="80"/>
          <w:sz w:val="14"/>
          <w:szCs w:val="14"/>
        </w:rPr>
        <w:t xml:space="preserve"> např. zákon č. 250/2016 Sb., o odpovědnosti za přestupky a řízení o nich, zákon č. 128/2000 o obcích (obecní zřízení)</w:t>
      </w:r>
    </w:p>
    <w:p w:rsidR="00CD62A5" w:rsidRDefault="00CD62A5" w:rsidP="000A646E">
      <w:pPr>
        <w:pStyle w:val="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E5" w:rsidRDefault="000A67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57B28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257B28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4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E1" w:rsidRDefault="00FD79E1" w:rsidP="001E3427">
      <w:r>
        <w:separator/>
      </w:r>
    </w:p>
  </w:footnote>
  <w:footnote w:type="continuationSeparator" w:id="0">
    <w:p w:rsidR="00FD79E1" w:rsidRDefault="00FD79E1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E5" w:rsidRDefault="000A67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E5" w:rsidRDefault="000A67E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7D1BD3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FD79E1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0B99"/>
    <w:multiLevelType w:val="hybridMultilevel"/>
    <w:tmpl w:val="3E6E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1F36"/>
    <w:multiLevelType w:val="hybridMultilevel"/>
    <w:tmpl w:val="09AC8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9BE"/>
    <w:multiLevelType w:val="hybridMultilevel"/>
    <w:tmpl w:val="A0627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7741"/>
    <w:multiLevelType w:val="hybridMultilevel"/>
    <w:tmpl w:val="7A76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838"/>
    <w:multiLevelType w:val="hybridMultilevel"/>
    <w:tmpl w:val="B14C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7154B"/>
    <w:multiLevelType w:val="hybridMultilevel"/>
    <w:tmpl w:val="0E149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1D2A"/>
    <w:multiLevelType w:val="hybridMultilevel"/>
    <w:tmpl w:val="BCE42068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F60A87B6">
      <w:start w:val="1"/>
      <w:numFmt w:val="lowerLetter"/>
      <w:pStyle w:val="IIOdst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0C9F"/>
    <w:multiLevelType w:val="hybridMultilevel"/>
    <w:tmpl w:val="E124B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008F2"/>
    <w:multiLevelType w:val="hybridMultilevel"/>
    <w:tmpl w:val="AAB0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513B1"/>
    <w:multiLevelType w:val="hybridMultilevel"/>
    <w:tmpl w:val="5816B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D2CAC"/>
    <w:multiLevelType w:val="hybridMultilevel"/>
    <w:tmpl w:val="F29CD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3550C"/>
    <w:multiLevelType w:val="hybridMultilevel"/>
    <w:tmpl w:val="9BDCACFC"/>
    <w:lvl w:ilvl="0" w:tplc="41A6E87C">
      <w:start w:val="1"/>
      <w:numFmt w:val="decimal"/>
      <w:pStyle w:val="IOds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10461"/>
    <w:multiLevelType w:val="hybridMultilevel"/>
    <w:tmpl w:val="7C704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5A1F"/>
    <w:multiLevelType w:val="hybridMultilevel"/>
    <w:tmpl w:val="3FD2A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B4007"/>
    <w:multiLevelType w:val="hybridMultilevel"/>
    <w:tmpl w:val="0EAA0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80865"/>
    <w:multiLevelType w:val="hybridMultilevel"/>
    <w:tmpl w:val="80129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10084"/>
    <w:multiLevelType w:val="hybridMultilevel"/>
    <w:tmpl w:val="B20E7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F2C65"/>
    <w:multiLevelType w:val="hybridMultilevel"/>
    <w:tmpl w:val="9CC6F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D5293"/>
    <w:multiLevelType w:val="hybridMultilevel"/>
    <w:tmpl w:val="2FC2A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B181C"/>
    <w:multiLevelType w:val="hybridMultilevel"/>
    <w:tmpl w:val="603C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5E94"/>
    <w:multiLevelType w:val="hybridMultilevel"/>
    <w:tmpl w:val="44FE4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2B36"/>
    <w:multiLevelType w:val="hybridMultilevel"/>
    <w:tmpl w:val="FA66B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8"/>
  </w:num>
  <w:num w:numId="5">
    <w:abstractNumId w:val="16"/>
  </w:num>
  <w:num w:numId="6">
    <w:abstractNumId w:val="7"/>
  </w:num>
  <w:num w:numId="7">
    <w:abstractNumId w:val="1"/>
  </w:num>
  <w:num w:numId="8">
    <w:abstractNumId w:val="10"/>
  </w:num>
  <w:num w:numId="9">
    <w:abstractNumId w:val="21"/>
  </w:num>
  <w:num w:numId="10">
    <w:abstractNumId w:val="5"/>
  </w:num>
  <w:num w:numId="11">
    <w:abstractNumId w:val="0"/>
  </w:num>
  <w:num w:numId="12">
    <w:abstractNumId w:val="25"/>
  </w:num>
  <w:num w:numId="13">
    <w:abstractNumId w:val="26"/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3"/>
  </w:num>
  <w:num w:numId="19">
    <w:abstractNumId w:val="13"/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9"/>
  </w:num>
  <w:num w:numId="27">
    <w:abstractNumId w:val="15"/>
  </w:num>
  <w:num w:numId="28">
    <w:abstractNumId w:val="17"/>
  </w:num>
  <w:num w:numId="29">
    <w:abstractNumId w:val="18"/>
  </w:num>
  <w:num w:numId="30">
    <w:abstractNumId w:val="28"/>
  </w:num>
  <w:num w:numId="31">
    <w:abstractNumId w:val="6"/>
  </w:num>
  <w:num w:numId="32">
    <w:abstractNumId w:val="30"/>
  </w:num>
  <w:num w:numId="33">
    <w:abstractNumId w:val="24"/>
  </w:num>
  <w:num w:numId="34">
    <w:abstractNumId w:val="23"/>
  </w:num>
  <w:num w:numId="35">
    <w:abstractNumId w:val="4"/>
  </w:num>
  <w:num w:numId="36">
    <w:abstractNumId w:val="20"/>
  </w:num>
  <w:num w:numId="37">
    <w:abstractNumId w:val="2"/>
  </w:num>
  <w:num w:numId="38">
    <w:abstractNumId w:val="11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63"/>
    <w:rsid w:val="000262BD"/>
    <w:rsid w:val="00036A77"/>
    <w:rsid w:val="00061167"/>
    <w:rsid w:val="000878D2"/>
    <w:rsid w:val="000A646E"/>
    <w:rsid w:val="000A67E5"/>
    <w:rsid w:val="000C09C7"/>
    <w:rsid w:val="00136803"/>
    <w:rsid w:val="00144CF6"/>
    <w:rsid w:val="00154D3F"/>
    <w:rsid w:val="001B38D2"/>
    <w:rsid w:val="001B74DC"/>
    <w:rsid w:val="001E234F"/>
    <w:rsid w:val="001E3427"/>
    <w:rsid w:val="001E633F"/>
    <w:rsid w:val="00205320"/>
    <w:rsid w:val="00212F11"/>
    <w:rsid w:val="00257B28"/>
    <w:rsid w:val="00262D9A"/>
    <w:rsid w:val="00297539"/>
    <w:rsid w:val="002A7A41"/>
    <w:rsid w:val="002D2D61"/>
    <w:rsid w:val="00315D00"/>
    <w:rsid w:val="003317A7"/>
    <w:rsid w:val="00344619"/>
    <w:rsid w:val="00364379"/>
    <w:rsid w:val="00380C5B"/>
    <w:rsid w:val="003961F1"/>
    <w:rsid w:val="003A177B"/>
    <w:rsid w:val="003B128B"/>
    <w:rsid w:val="003B4654"/>
    <w:rsid w:val="003D083F"/>
    <w:rsid w:val="003D7A1C"/>
    <w:rsid w:val="003F5B58"/>
    <w:rsid w:val="004409FB"/>
    <w:rsid w:val="004865E5"/>
    <w:rsid w:val="004A474B"/>
    <w:rsid w:val="004B2542"/>
    <w:rsid w:val="004E7DFB"/>
    <w:rsid w:val="00532C7A"/>
    <w:rsid w:val="00570927"/>
    <w:rsid w:val="00596141"/>
    <w:rsid w:val="005A7C0F"/>
    <w:rsid w:val="005C1A73"/>
    <w:rsid w:val="005D5842"/>
    <w:rsid w:val="005E5ECA"/>
    <w:rsid w:val="005F4C30"/>
    <w:rsid w:val="006020B2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957F8"/>
    <w:rsid w:val="007D1BD3"/>
    <w:rsid w:val="007D3BF0"/>
    <w:rsid w:val="007E300C"/>
    <w:rsid w:val="00812898"/>
    <w:rsid w:val="008368E3"/>
    <w:rsid w:val="008368FC"/>
    <w:rsid w:val="00855D64"/>
    <w:rsid w:val="008829CC"/>
    <w:rsid w:val="00885F85"/>
    <w:rsid w:val="008A2BC8"/>
    <w:rsid w:val="008A4C3A"/>
    <w:rsid w:val="008C7D0C"/>
    <w:rsid w:val="008D4E86"/>
    <w:rsid w:val="00932A2A"/>
    <w:rsid w:val="00934E5D"/>
    <w:rsid w:val="009406B0"/>
    <w:rsid w:val="00955949"/>
    <w:rsid w:val="00955B5A"/>
    <w:rsid w:val="0098356A"/>
    <w:rsid w:val="00991D37"/>
    <w:rsid w:val="009A3660"/>
    <w:rsid w:val="009B38F7"/>
    <w:rsid w:val="009B5101"/>
    <w:rsid w:val="009E024C"/>
    <w:rsid w:val="00A17D30"/>
    <w:rsid w:val="00A22C8F"/>
    <w:rsid w:val="00A641FA"/>
    <w:rsid w:val="00A65BA1"/>
    <w:rsid w:val="00A80201"/>
    <w:rsid w:val="00AA5817"/>
    <w:rsid w:val="00AC2E92"/>
    <w:rsid w:val="00AE7300"/>
    <w:rsid w:val="00AF2E63"/>
    <w:rsid w:val="00AF6B1E"/>
    <w:rsid w:val="00B04232"/>
    <w:rsid w:val="00B2257D"/>
    <w:rsid w:val="00B400AD"/>
    <w:rsid w:val="00B810B7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559C2"/>
    <w:rsid w:val="00C9175E"/>
    <w:rsid w:val="00C958BE"/>
    <w:rsid w:val="00CC19D6"/>
    <w:rsid w:val="00CC7985"/>
    <w:rsid w:val="00CD62A5"/>
    <w:rsid w:val="00CF2B9C"/>
    <w:rsid w:val="00D12B39"/>
    <w:rsid w:val="00D16276"/>
    <w:rsid w:val="00D35B9E"/>
    <w:rsid w:val="00D35C45"/>
    <w:rsid w:val="00D87BCC"/>
    <w:rsid w:val="00DA4D70"/>
    <w:rsid w:val="00DC3406"/>
    <w:rsid w:val="00DD5448"/>
    <w:rsid w:val="00DD66FB"/>
    <w:rsid w:val="00DF4A49"/>
    <w:rsid w:val="00DF7F25"/>
    <w:rsid w:val="00E16076"/>
    <w:rsid w:val="00E22C3E"/>
    <w:rsid w:val="00E239C4"/>
    <w:rsid w:val="00E62B5C"/>
    <w:rsid w:val="00E83E78"/>
    <w:rsid w:val="00F042B4"/>
    <w:rsid w:val="00F56F81"/>
    <w:rsid w:val="00FA7557"/>
    <w:rsid w:val="00FB7728"/>
    <w:rsid w:val="00FD79E1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5DC26-551D-40BE-A63B-1BA6CE3B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IOdst1">
    <w:name w:val="I Odst. 1)"/>
    <w:basedOn w:val="Normln"/>
    <w:link w:val="IOdst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IIOdsta">
    <w:name w:val="II Odst. a)"/>
    <w:basedOn w:val="Normln"/>
    <w:link w:val="IIOdst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IOdst1Char">
    <w:name w:val="I Odst. 1) Char"/>
    <w:basedOn w:val="Standardnpsmoodstavce"/>
    <w:link w:val="IOdst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IIOdstaChar">
    <w:name w:val="II Odst. a) Char"/>
    <w:basedOn w:val="Standardnpsmoodstavce"/>
    <w:link w:val="IIOdst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8A2BC8"/>
    <w:pPr>
      <w:numPr>
        <w:numId w:val="12"/>
      </w:numPr>
      <w:ind w:left="567" w:hanging="357"/>
    </w:pPr>
  </w:style>
  <w:style w:type="character" w:customStyle="1" w:styleId="IOdstaChar">
    <w:name w:val="I Odst. a) Char"/>
    <w:basedOn w:val="textChar"/>
    <w:link w:val="IOdsta"/>
    <w:rsid w:val="008A2BC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Default">
    <w:name w:val="Default"/>
    <w:rsid w:val="003A1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poznmkapodarou">
    <w:name w:val="poznámka pod čarou"/>
    <w:basedOn w:val="Textpoznpodarou"/>
    <w:link w:val="poznmkapodarouChar"/>
    <w:qFormat/>
    <w:rsid w:val="000A646E"/>
    <w:pPr>
      <w:ind w:left="284" w:hanging="284"/>
    </w:pPr>
    <w:rPr>
      <w:rFonts w:ascii="Open Sans" w:hAnsi="Open Sans" w:cs="Open Sans"/>
      <w:i/>
      <w:color w:val="808080" w:themeColor="background1" w:themeShade="80"/>
      <w:sz w:val="14"/>
      <w:szCs w:val="14"/>
    </w:rPr>
  </w:style>
  <w:style w:type="character" w:customStyle="1" w:styleId="poznmkapodarouChar">
    <w:name w:val="poznámka pod čarou Char"/>
    <w:basedOn w:val="TextpoznpodarouChar"/>
    <w:link w:val="poznmkapodarou"/>
    <w:rsid w:val="000A646E"/>
    <w:rPr>
      <w:rFonts w:ascii="Open Sans" w:eastAsia="Times New Roman" w:hAnsi="Open Sans" w:cs="Open Sans"/>
      <w:i/>
      <w:color w:val="808080" w:themeColor="background1" w:themeShade="80"/>
      <w:sz w:val="1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9BA9-D605-4CC2-80C8-50F3AB26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</TotalTime>
  <Pages>4</Pages>
  <Words>933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6</cp:revision>
  <cp:lastPrinted>2019-10-23T07:37:00Z</cp:lastPrinted>
  <dcterms:created xsi:type="dcterms:W3CDTF">2023-02-22T13:18:00Z</dcterms:created>
  <dcterms:modified xsi:type="dcterms:W3CDTF">2023-02-22T15:54:00Z</dcterms:modified>
</cp:coreProperties>
</file>