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Open Sans" w:hAnsi="Open Sans" w:eastAsia="Open Sans" w:cs="Open Sans"/>
          <w:b/>
          <w:sz w:val="40"/>
          <w:szCs w:val="40"/>
        </w:rPr>
      </w:pPr>
      <w:r>
        <w:rPr>
          <w:rFonts w:eastAsia="Open Sans" w:cs="Open Sans" w:ascii="Open Sans" w:hAnsi="Open Sans"/>
          <w:b/>
          <w:sz w:val="40"/>
          <w:szCs w:val="40"/>
        </w:rPr>
        <w:t>OBEC BISKUPICE-PULKOV</w:t>
      </w:r>
    </w:p>
    <w:p>
      <w:pPr>
        <w:pStyle w:val="Normal1"/>
        <w:jc w:val="center"/>
        <w:rPr>
          <w:rFonts w:ascii="Open Sans" w:hAnsi="Open Sans" w:eastAsia="Open Sans" w:cs="Open Sans"/>
          <w:b/>
          <w:sz w:val="40"/>
          <w:szCs w:val="40"/>
        </w:rPr>
      </w:pPr>
      <w:r>
        <w:rPr>
          <w:rFonts w:eastAsia="Open Sans" w:cs="Open Sans" w:ascii="Open Sans" w:hAnsi="Open Sans"/>
          <w:b/>
          <w:sz w:val="40"/>
          <w:szCs w:val="40"/>
        </w:rPr>
        <w:t>Zastupitelstvo obce Biskupice-Pulkov</w:t>
      </w:r>
    </w:p>
    <w:p>
      <w:pPr>
        <w:pStyle w:val="Normal1"/>
        <w:jc w:val="center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</w:r>
    </w:p>
    <w:p>
      <w:pPr>
        <w:pStyle w:val="Normal1"/>
        <w:jc w:val="center"/>
        <w:rPr>
          <w:rFonts w:ascii="Open Sans" w:hAnsi="Open Sans" w:eastAsia="Open Sans" w:cs="Open Sans"/>
          <w:b/>
          <w:sz w:val="28"/>
          <w:szCs w:val="28"/>
        </w:rPr>
      </w:pPr>
      <w:r>
        <w:rPr>
          <w:rFonts w:eastAsia="Open Sans" w:cs="Open Sans" w:ascii="Open Sans" w:hAnsi="Open Sans"/>
          <w:b/>
          <w:sz w:val="28"/>
          <w:szCs w:val="28"/>
        </w:rPr>
        <w:t>Obecně závazná vyhláška obce Biskupice-Pulkov</w:t>
      </w:r>
    </w:p>
    <w:p>
      <w:pPr>
        <w:pStyle w:val="Normal1"/>
        <w:jc w:val="center"/>
        <w:rPr>
          <w:rFonts w:ascii="Open Sans" w:hAnsi="Open Sans" w:eastAsia="Open Sans" w:cs="Open Sans"/>
          <w:b/>
          <w:sz w:val="28"/>
          <w:szCs w:val="28"/>
        </w:rPr>
      </w:pPr>
      <w:r>
        <w:rPr>
          <w:rFonts w:eastAsia="Open Sans" w:cs="Open Sans" w:ascii="Open Sans" w:hAnsi="Open Sans"/>
          <w:b/>
          <w:sz w:val="28"/>
          <w:szCs w:val="28"/>
        </w:rPr>
        <w:t>o nočním klidu</w:t>
      </w:r>
    </w:p>
    <w:p>
      <w:pPr>
        <w:pStyle w:val="Normal1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</w:r>
    </w:p>
    <w:p>
      <w:pPr>
        <w:pStyle w:val="Normal1"/>
        <w:jc w:val="both"/>
        <w:rPr>
          <w:rFonts w:ascii="Open Sans" w:hAnsi="Open Sans" w:eastAsia="Open Sans" w:cs="Open Sans"/>
        </w:rPr>
      </w:pPr>
      <w:r>
        <w:rPr>
          <w:rFonts w:eastAsia="Open Sans" w:cs="Open Sans" w:ascii="Open Sans" w:hAnsi="Open Sans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>Zastupitelstvo obce Biskupice-Pulkov se na svém zasedání dne 8. listopadu 2024 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spacing w:lineRule="auto" w:line="240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Čl. 1</w:t>
      </w:r>
    </w:p>
    <w:p>
      <w:pPr>
        <w:pStyle w:val="Normal1"/>
        <w:spacing w:lineRule="auto" w:line="360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Předmět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>(1) Předmětem této vyhlášky je stanovení výjimečných případů, při nichž je doba nočního klidu vymezena odlišně od zákona o některých přestupcích.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spacing w:lineRule="auto" w:line="240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Čl. 2</w:t>
      </w:r>
    </w:p>
    <w:p>
      <w:pPr>
        <w:pStyle w:val="Normal1"/>
        <w:spacing w:lineRule="auto" w:line="360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Doba nočního klidu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>(1) Dobou nočního klidu se rozumí doba od dvacáté druhé hodiny do šesté hodiny.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Čl. 3</w:t>
      </w:r>
    </w:p>
    <w:p>
      <w:pPr>
        <w:pStyle w:val="Normal1"/>
        <w:spacing w:lineRule="auto" w:line="360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 xml:space="preserve">Stanovení výjimečných případů, </w:t>
      </w:r>
    </w:p>
    <w:p>
      <w:pPr>
        <w:pStyle w:val="Normal1"/>
        <w:spacing w:lineRule="auto" w:line="360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při nichž je doba nočního klidu vymezena odlišně od zákona</w:t>
      </w:r>
    </w:p>
    <w:p>
      <w:pPr>
        <w:pStyle w:val="Normal1"/>
        <w:ind w:left="0" w:hanging="0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>(1) Doba nočního klidu se vymezuje od 02.00 do 06.00 hodin, a to v následujících případech:</w:t>
      </w:r>
    </w:p>
    <w:p>
      <w:pPr>
        <w:pStyle w:val="Normal1"/>
        <w:numPr>
          <w:ilvl w:val="0"/>
          <w:numId w:val="2"/>
        </w:numPr>
        <w:ind w:left="720" w:hanging="360"/>
        <w:jc w:val="both"/>
        <w:rPr>
          <w:rFonts w:ascii="Open Sans" w:hAnsi="Open Sans" w:eastAsia="Open Sans" w:cs="Open Sans"/>
          <w:sz w:val="20"/>
          <w:szCs w:val="20"/>
          <w:u w:val="none"/>
        </w:rPr>
      </w:pPr>
      <w:r>
        <w:rPr>
          <w:rFonts w:eastAsia="Open Sans" w:cs="Open Sans" w:ascii="Open Sans" w:hAnsi="Open Sans"/>
          <w:sz w:val="20"/>
          <w:szCs w:val="20"/>
        </w:rPr>
        <w:t>v noci z 31. prosince na 1. ledna z důvodu konání oslav příchodu nového roku;</w:t>
      </w:r>
    </w:p>
    <w:p>
      <w:pPr>
        <w:pStyle w:val="Normal1"/>
        <w:numPr>
          <w:ilvl w:val="0"/>
          <w:numId w:val="2"/>
        </w:numPr>
        <w:ind w:left="720" w:hanging="360"/>
        <w:jc w:val="both"/>
        <w:rPr>
          <w:rFonts w:ascii="Open Sans" w:hAnsi="Open Sans" w:eastAsia="Open Sans" w:cs="Open Sans"/>
          <w:sz w:val="20"/>
          <w:szCs w:val="20"/>
          <w:u w:val="none"/>
        </w:rPr>
      </w:pPr>
      <w:r>
        <w:rPr>
          <w:rFonts w:eastAsia="Open Sans" w:cs="Open Sans" w:ascii="Open Sans" w:hAnsi="Open Sans"/>
          <w:sz w:val="20"/>
          <w:szCs w:val="20"/>
        </w:rPr>
        <w:t>v noci z 30. dubna na 1. května z důvodu konání tradiční akce Pálení čarodějnic;</w:t>
      </w:r>
    </w:p>
    <w:p>
      <w:pPr>
        <w:pStyle w:val="Normal1"/>
        <w:numPr>
          <w:ilvl w:val="0"/>
          <w:numId w:val="2"/>
        </w:numPr>
        <w:ind w:left="720" w:hanging="360"/>
        <w:jc w:val="both"/>
        <w:rPr>
          <w:rFonts w:ascii="Open Sans" w:hAnsi="Open Sans" w:eastAsia="Open Sans" w:cs="Open Sans"/>
          <w:sz w:val="20"/>
          <w:szCs w:val="20"/>
          <w:u w:val="none"/>
        </w:rPr>
      </w:pPr>
      <w:r>
        <w:rPr>
          <w:rFonts w:eastAsia="Open Sans" w:cs="Open Sans" w:ascii="Open Sans" w:hAnsi="Open Sans"/>
          <w:sz w:val="20"/>
          <w:szCs w:val="20"/>
        </w:rPr>
        <w:t>v noci ze soboty na první neděli v říjnu každého roku z důvodu konání tradiční akce „Biskupické posvícení“;</w:t>
      </w:r>
    </w:p>
    <w:p>
      <w:pPr>
        <w:pStyle w:val="Normal1"/>
        <w:numPr>
          <w:ilvl w:val="0"/>
          <w:numId w:val="2"/>
        </w:numPr>
        <w:ind w:left="720" w:hanging="360"/>
        <w:jc w:val="both"/>
        <w:rPr>
          <w:rFonts w:ascii="Open Sans" w:hAnsi="Open Sans" w:eastAsia="Open Sans" w:cs="Open Sans"/>
          <w:sz w:val="20"/>
          <w:szCs w:val="20"/>
          <w:u w:val="none"/>
        </w:rPr>
      </w:pPr>
      <w:r>
        <w:rPr>
          <w:rFonts w:eastAsia="Open Sans" w:cs="Open Sans" w:ascii="Open Sans" w:hAnsi="Open Sans"/>
          <w:sz w:val="20"/>
          <w:szCs w:val="20"/>
        </w:rPr>
        <w:t>v noci ze dne konání tradiční akce „Martinská zábava“ na den následující konané v listopadu každého roku;</w:t>
      </w:r>
    </w:p>
    <w:p>
      <w:pPr>
        <w:pStyle w:val="Normal1"/>
        <w:numPr>
          <w:ilvl w:val="0"/>
          <w:numId w:val="2"/>
        </w:numPr>
        <w:ind w:left="720" w:hanging="360"/>
        <w:jc w:val="both"/>
        <w:rPr>
          <w:rFonts w:ascii="Open Sans" w:hAnsi="Open Sans" w:eastAsia="Open Sans" w:cs="Open Sans"/>
          <w:sz w:val="20"/>
          <w:szCs w:val="20"/>
          <w:u w:val="none"/>
        </w:rPr>
      </w:pPr>
      <w:r>
        <w:rPr>
          <w:rFonts w:eastAsia="Open Sans" w:cs="Open Sans" w:ascii="Open Sans" w:hAnsi="Open Sans"/>
          <w:sz w:val="20"/>
          <w:szCs w:val="20"/>
        </w:rPr>
        <w:t>v noci ze dne konání tradiční akce „Biskupické zpívánky“ na den následující konané v prosinci každého roku.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>(3) Doba nočního klidu se vymezuje od 00.00 do 06.00 hodin, a to v následujících případech:</w:t>
      </w:r>
    </w:p>
    <w:p>
      <w:pPr>
        <w:pStyle w:val="Normal1"/>
        <w:numPr>
          <w:ilvl w:val="0"/>
          <w:numId w:val="1"/>
        </w:numPr>
        <w:ind w:left="720" w:hanging="360"/>
        <w:jc w:val="both"/>
        <w:rPr>
          <w:rFonts w:ascii="Open Sans" w:hAnsi="Open Sans" w:eastAsia="Open Sans" w:cs="Open Sans"/>
          <w:sz w:val="20"/>
          <w:szCs w:val="20"/>
          <w:u w:val="none"/>
        </w:rPr>
      </w:pPr>
      <w:r>
        <w:rPr>
          <w:rFonts w:eastAsia="Open Sans" w:cs="Open Sans" w:ascii="Open Sans" w:hAnsi="Open Sans"/>
          <w:sz w:val="20"/>
          <w:szCs w:val="20"/>
        </w:rPr>
        <w:t>v noci ze dne konání tradiční akce „Pingpongový turnaj” na den následující konané v červenci každého roku;</w:t>
      </w:r>
    </w:p>
    <w:p>
      <w:pPr>
        <w:pStyle w:val="Normal1"/>
        <w:numPr>
          <w:ilvl w:val="0"/>
          <w:numId w:val="1"/>
        </w:numPr>
        <w:ind w:left="720" w:hanging="360"/>
        <w:jc w:val="both"/>
        <w:rPr>
          <w:rFonts w:ascii="Open Sans" w:hAnsi="Open Sans" w:eastAsia="Open Sans" w:cs="Open Sans"/>
          <w:sz w:val="20"/>
          <w:szCs w:val="20"/>
          <w:u w:val="none"/>
        </w:rPr>
      </w:pPr>
      <w:r>
        <w:rPr>
          <w:rFonts w:eastAsia="Open Sans" w:cs="Open Sans" w:ascii="Open Sans" w:hAnsi="Open Sans"/>
          <w:sz w:val="20"/>
          <w:szCs w:val="20"/>
        </w:rPr>
        <w:t>v noci ze dne konání tradiční akce „Nohejbalový turnaj“ na den následující konané v srpnu každého roku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>(4) Informace o konkrétním termínu konání akcí uvedených v bodu (1) písmeno d) a e) a v bodu (3) bude zveřejněna obecním úřadem na úřední desce minimálně 5 dnů před datem konání.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Čl. 4</w:t>
      </w:r>
    </w:p>
    <w:p>
      <w:pPr>
        <w:pStyle w:val="Normal1"/>
        <w:spacing w:lineRule="auto" w:line="360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Zrušovací ustanovení</w:t>
      </w:r>
    </w:p>
    <w:p>
      <w:pPr>
        <w:pStyle w:val="Normal1"/>
        <w:spacing w:lineRule="auto" w:line="360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>Zrušuje se obecně závazná vyhláška č. 6/2016 ze dne 25. 11. 2016.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Čl. 5</w:t>
      </w:r>
    </w:p>
    <w:p>
      <w:pPr>
        <w:pStyle w:val="Normal1"/>
        <w:spacing w:lineRule="auto" w:line="360"/>
        <w:jc w:val="center"/>
        <w:rPr>
          <w:rFonts w:ascii="Open Sans" w:hAnsi="Open Sans" w:eastAsia="Open Sans" w:cs="Open Sans"/>
          <w:b/>
          <w:sz w:val="20"/>
          <w:szCs w:val="20"/>
        </w:rPr>
      </w:pPr>
      <w:r>
        <w:rPr>
          <w:rFonts w:eastAsia="Open Sans" w:cs="Open Sans" w:ascii="Open Sans" w:hAnsi="Open Sans"/>
          <w:b/>
          <w:sz w:val="20"/>
          <w:szCs w:val="20"/>
        </w:rPr>
        <w:t>Účinnost</w:t>
      </w:r>
    </w:p>
    <w:p>
      <w:pPr>
        <w:pStyle w:val="Normal1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>Tato vyhláška nabývá účinnosti dne 1. 1. 2025.</w:t>
      </w:r>
    </w:p>
    <w:p>
      <w:pPr>
        <w:pStyle w:val="Normal1"/>
        <w:spacing w:lineRule="auto" w:line="264" w:before="120" w:after="0"/>
        <w:ind w:left="0" w:hanging="0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spacing w:lineRule="auto" w:line="264" w:before="120" w:after="0"/>
        <w:ind w:left="0" w:hanging="0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spacing w:lineRule="auto" w:line="264" w:before="120" w:after="0"/>
        <w:ind w:left="0" w:hanging="0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</w:r>
    </w:p>
    <w:p>
      <w:pPr>
        <w:pStyle w:val="Normal1"/>
        <w:tabs>
          <w:tab w:val="clear" w:pos="720"/>
          <w:tab w:val="left" w:pos="1440" w:leader="none"/>
          <w:tab w:val="left" w:pos="7020" w:leader="none"/>
        </w:tabs>
        <w:spacing w:lineRule="auto" w:line="264"/>
        <w:jc w:val="both"/>
        <w:rPr>
          <w:rFonts w:ascii="Open Sans" w:hAnsi="Open Sans" w:eastAsia="Open Sans" w:cs="Open Sans"/>
          <w:color w:val="EFEFEF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ab/>
        <w:tab/>
      </w:r>
    </w:p>
    <w:p>
      <w:pPr>
        <w:pStyle w:val="Normal1"/>
        <w:tabs>
          <w:tab w:val="left" w:pos="720" w:leader="none"/>
          <w:tab w:val="left" w:pos="6120" w:leader="none"/>
        </w:tabs>
        <w:spacing w:lineRule="auto" w:line="264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ab/>
        <w:t>...................................</w:t>
        <w:tab/>
        <w:t>..........................................</w:t>
      </w:r>
    </w:p>
    <w:p>
      <w:pPr>
        <w:pStyle w:val="Normal1"/>
        <w:tabs>
          <w:tab w:val="clear" w:pos="720"/>
          <w:tab w:val="left" w:pos="1080" w:leader="none"/>
          <w:tab w:val="left" w:pos="6660" w:leader="none"/>
        </w:tabs>
        <w:spacing w:lineRule="auto" w:line="264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 xml:space="preserve">                   </w:t>
      </w:r>
      <w:r>
        <w:rPr>
          <w:rFonts w:eastAsia="Open Sans" w:cs="Open Sans" w:ascii="Open Sans" w:hAnsi="Open Sans"/>
          <w:sz w:val="20"/>
          <w:szCs w:val="20"/>
        </w:rPr>
        <w:t xml:space="preserve">místostarosta </w:t>
        <w:tab/>
        <w:t xml:space="preserve">    starosta</w:t>
      </w:r>
    </w:p>
    <w:p>
      <w:pPr>
        <w:pStyle w:val="Normal1"/>
        <w:tabs>
          <w:tab w:val="clear" w:pos="720"/>
          <w:tab w:val="left" w:pos="1080" w:leader="none"/>
          <w:tab w:val="left" w:pos="7020" w:leader="none"/>
        </w:tabs>
        <w:spacing w:lineRule="auto" w:line="264"/>
        <w:jc w:val="both"/>
        <w:rPr>
          <w:rFonts w:ascii="Open Sans" w:hAnsi="Open Sans" w:eastAsia="Open Sans" w:cs="Open Sans"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 xml:space="preserve">                 </w:t>
      </w:r>
      <w:r>
        <w:rPr>
          <w:rFonts w:eastAsia="Open Sans" w:cs="Open Sans" w:ascii="Open Sans" w:hAnsi="Open Sans"/>
          <w:sz w:val="20"/>
          <w:szCs w:val="20"/>
        </w:rPr>
        <w:t>Bohumil Mencák                                                                                    Petr Řezáč</w:t>
      </w:r>
    </w:p>
    <w:p>
      <w:pPr>
        <w:pStyle w:val="Normal1"/>
        <w:tabs>
          <w:tab w:val="clear" w:pos="720"/>
          <w:tab w:val="left" w:pos="1080" w:leader="none"/>
          <w:tab w:val="left" w:pos="7020" w:leader="none"/>
        </w:tabs>
        <w:spacing w:lineRule="auto" w:line="264"/>
        <w:jc w:val="both"/>
        <w:rPr>
          <w:rFonts w:ascii="Open Sans" w:hAnsi="Open Sans" w:eastAsia="Open Sans" w:cs="Open Sans"/>
          <w:i/>
          <w:i/>
          <w:sz w:val="20"/>
          <w:szCs w:val="20"/>
        </w:rPr>
      </w:pPr>
      <w:r>
        <w:rPr>
          <w:rFonts w:eastAsia="Open Sans" w:cs="Open Sans" w:ascii="Open Sans" w:hAnsi="Open Sans"/>
          <w:sz w:val="20"/>
          <w:szCs w:val="20"/>
        </w:rPr>
        <w:tab/>
        <w:t xml:space="preserve">        v.r.</w:t>
        <w:tab/>
        <w:t xml:space="preserve">  v.r.</w:t>
      </w:r>
    </w:p>
    <w:p>
      <w:pPr>
        <w:pStyle w:val="Normal1"/>
        <w:jc w:val="both"/>
        <w:rPr>
          <w:rFonts w:ascii="Open Sans" w:hAnsi="Open Sans" w:eastAsia="Open Sans" w:cs="Open Sans"/>
        </w:rPr>
      </w:pPr>
      <w:r>
        <w:rPr/>
      </w:r>
    </w:p>
    <w:sectPr>
      <w:footerReference w:type="default" r:id="rId2"/>
      <w:type w:val="nextPage"/>
      <w:pgSz w:w="11906" w:h="16838"/>
      <w:pgMar w:left="1440" w:right="1440" w:gutter="0" w:header="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Open Sans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>
        <w:rFonts w:ascii="Open Sans" w:hAnsi="Open Sans" w:eastAsia="Open Sans" w:cs="Open Sans"/>
        <w:sz w:val="20"/>
        <w:szCs w:val="20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rFonts w:eastAsia="Open Sans" w:cs="Open Sans" w:ascii="Open Sans" w:hAnsi="Open Sans"/>
        <w:sz w:val="20"/>
        <w:szCs w:val="20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zh-CN" w:bidi="hi-IN"/>
    </w:rPr>
  </w:style>
  <w:style w:type="paragraph" w:styleId="Nadpis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Nadpis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Nadpis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Nadpis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Nadpis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Nadpis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zh-CN" w:bidi="hi-IN"/>
    </w:rPr>
  </w:style>
  <w:style w:type="paragraph" w:styleId="Nzev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Podtitu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Zhlavazpat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LibreOffice/7.5.0.3$Windows_X86_64 LibreOffice_project/c21113d003cd3efa8c53188764377a8272d9d6de</Application>
  <AppVersion>15.0000</AppVersion>
  <Pages>2</Pages>
  <Words>366</Words>
  <Characters>1911</Characters>
  <CharactersWithSpaces>2374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2024-11-13T15:47:06Z</dcterms:modified>
  <cp:revision>1</cp:revision>
  <dc:subject/>
  <dc:title/>
</cp:coreProperties>
</file>