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Open Sans" w:hAnsi="Open Sans" w:eastAsia="Open Sans" w:cs="Open Sans"/>
          <w:b/>
          <w:sz w:val="40"/>
          <w:szCs w:val="40"/>
        </w:rPr>
      </w:pPr>
      <w:r>
        <w:rPr>
          <w:rFonts w:eastAsia="Open Sans" w:cs="Open Sans" w:ascii="Open Sans" w:hAnsi="Open Sans"/>
          <w:b/>
          <w:sz w:val="40"/>
          <w:szCs w:val="40"/>
        </w:rPr>
        <w:t>OBEC BISKUPICE-PULKOV</w:t>
      </w:r>
    </w:p>
    <w:p>
      <w:pPr>
        <w:pStyle w:val="Normal1"/>
        <w:jc w:val="center"/>
        <w:rPr>
          <w:rFonts w:ascii="Open Sans" w:hAnsi="Open Sans" w:eastAsia="Open Sans" w:cs="Open Sans"/>
          <w:b/>
          <w:sz w:val="40"/>
          <w:szCs w:val="40"/>
        </w:rPr>
      </w:pPr>
      <w:r>
        <w:rPr>
          <w:rFonts w:eastAsia="Open Sans" w:cs="Open Sans" w:ascii="Open Sans" w:hAnsi="Open Sans"/>
          <w:b/>
          <w:sz w:val="40"/>
          <w:szCs w:val="40"/>
        </w:rPr>
        <w:t>Zastupitelstvo obce Biskupice-Pulkov</w:t>
      </w:r>
    </w:p>
    <w:p>
      <w:pPr>
        <w:pStyle w:val="Normal1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1"/>
        <w:jc w:val="center"/>
        <w:rPr>
          <w:rFonts w:ascii="Open Sans" w:hAnsi="Open Sans" w:eastAsia="Open Sans" w:cs="Open Sans"/>
          <w:b/>
          <w:sz w:val="28"/>
          <w:szCs w:val="28"/>
        </w:rPr>
      </w:pPr>
      <w:r>
        <w:rPr>
          <w:rFonts w:eastAsia="Open Sans" w:cs="Open Sans" w:ascii="Open Sans" w:hAnsi="Open Sans"/>
          <w:b/>
          <w:sz w:val="28"/>
          <w:szCs w:val="28"/>
        </w:rPr>
        <w:t>Obecně závazná vyhláška obce Biskupice-Pulkov</w:t>
      </w:r>
    </w:p>
    <w:p>
      <w:pPr>
        <w:pStyle w:val="Normal1"/>
        <w:jc w:val="center"/>
        <w:rPr>
          <w:rFonts w:ascii="Open Sans" w:hAnsi="Open Sans" w:eastAsia="Open Sans" w:cs="Open Sans"/>
          <w:b/>
          <w:sz w:val="28"/>
          <w:szCs w:val="28"/>
        </w:rPr>
      </w:pPr>
      <w:r>
        <w:rPr>
          <w:rFonts w:eastAsia="Open Sans" w:cs="Open Sans" w:ascii="Open Sans" w:hAnsi="Open Sans"/>
          <w:b/>
          <w:sz w:val="28"/>
          <w:szCs w:val="28"/>
        </w:rPr>
        <w:t>o nočním klidu</w:t>
      </w:r>
    </w:p>
    <w:p>
      <w:pPr>
        <w:pStyle w:val="Normal1"/>
        <w:jc w:val="both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1"/>
        <w:jc w:val="both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Zastupitelstvo obce Biskupice-Pulkov se na svém zasedání dne 8. listopadu 2024 usneslo 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spacing w:lineRule="auto" w:line="240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Čl. 1</w:t>
      </w:r>
    </w:p>
    <w:p>
      <w:pPr>
        <w:pStyle w:val="Normal1"/>
        <w:spacing w:lineRule="auto" w:line="360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Předmět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(1) Předmětem této vyhlášky je stanovení výjimečných případů, při nichž je doba nočního klidu vymezena odlišně od zákona o některých přestupcích.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spacing w:lineRule="auto" w:line="240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Čl. 2</w:t>
      </w:r>
    </w:p>
    <w:p>
      <w:pPr>
        <w:pStyle w:val="Normal1"/>
        <w:spacing w:lineRule="auto" w:line="360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Doba nočního klidu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(1) Dobou nočního klidu se rozumí doba od dvacáté druhé hodiny do šesté hodiny.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Čl. 3</w:t>
      </w:r>
    </w:p>
    <w:p>
      <w:pPr>
        <w:pStyle w:val="Normal1"/>
        <w:spacing w:lineRule="auto" w:line="360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 xml:space="preserve">Stanovení výjimečných případů, </w:t>
      </w:r>
    </w:p>
    <w:p>
      <w:pPr>
        <w:pStyle w:val="Normal1"/>
        <w:spacing w:lineRule="auto" w:line="360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při nichž je doba nočního klidu vymezena odlišně od zákona</w:t>
      </w:r>
    </w:p>
    <w:p>
      <w:pPr>
        <w:pStyle w:val="Normal1"/>
        <w:ind w:left="0" w:hanging="0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(1) Doba nočního klidu se vymezuje od 02.00 do 06.00 hodin, a to v následujících případech:</w:t>
      </w:r>
    </w:p>
    <w:p>
      <w:pPr>
        <w:pStyle w:val="Normal1"/>
        <w:numPr>
          <w:ilvl w:val="0"/>
          <w:numId w:val="2"/>
        </w:numPr>
        <w:ind w:left="720" w:hanging="360"/>
        <w:jc w:val="both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v noci z 31. prosince na 1. ledna z důvodu konání oslav příchodu nového roku;</w:t>
      </w:r>
    </w:p>
    <w:p>
      <w:pPr>
        <w:pStyle w:val="Normal1"/>
        <w:numPr>
          <w:ilvl w:val="0"/>
          <w:numId w:val="2"/>
        </w:numPr>
        <w:ind w:left="720" w:hanging="360"/>
        <w:jc w:val="both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v noci z 30. dubna na 1. května z důvodu konání tradiční akce Pálení čarodějnic;</w:t>
      </w:r>
    </w:p>
    <w:p>
      <w:pPr>
        <w:pStyle w:val="Normal1"/>
        <w:numPr>
          <w:ilvl w:val="0"/>
          <w:numId w:val="2"/>
        </w:numPr>
        <w:ind w:left="720" w:hanging="360"/>
        <w:jc w:val="both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v noci ze soboty na první neděli v říjnu každého roku z důvodu konání tradiční akce „Biskupické posvícení“;</w:t>
      </w:r>
    </w:p>
    <w:p>
      <w:pPr>
        <w:pStyle w:val="Normal1"/>
        <w:numPr>
          <w:ilvl w:val="0"/>
          <w:numId w:val="2"/>
        </w:numPr>
        <w:ind w:left="720" w:hanging="360"/>
        <w:jc w:val="both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v noci ze dne konání tradiční akce „Martinská zábava“ na den následující konané v listopadu každého roku;</w:t>
      </w:r>
    </w:p>
    <w:p>
      <w:pPr>
        <w:pStyle w:val="Normal1"/>
        <w:numPr>
          <w:ilvl w:val="0"/>
          <w:numId w:val="2"/>
        </w:numPr>
        <w:ind w:left="720" w:hanging="360"/>
        <w:jc w:val="both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v noci ze dne konání tradiční akce „Biskupické zpívánky“ na den následující konané v prosinci každého roku.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(3) Doba nočního klidu se vymezuje od 00.00 do 06.00 hodin, a to v následujících případech:</w:t>
      </w:r>
    </w:p>
    <w:p>
      <w:pPr>
        <w:pStyle w:val="Normal1"/>
        <w:numPr>
          <w:ilvl w:val="0"/>
          <w:numId w:val="1"/>
        </w:numPr>
        <w:ind w:left="720" w:hanging="360"/>
        <w:jc w:val="both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v noci ze dne konání tradiční akce „Pingpongový turnaj” na den následující konané v červenci každého roku;</w:t>
      </w:r>
    </w:p>
    <w:p>
      <w:pPr>
        <w:pStyle w:val="Normal1"/>
        <w:numPr>
          <w:ilvl w:val="0"/>
          <w:numId w:val="1"/>
        </w:numPr>
        <w:ind w:left="720" w:hanging="360"/>
        <w:jc w:val="both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v noci ze dne konání tradiční akce „Nohejbalový turnaj“ na den následující konané v srpnu každého roku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(4) Informace o konkrétním termínu konání akcí uvedených v bodu (1) písmeno d) a e) a v bodu (3) bude zveřejněna obecním úřadem na úřední desce minimálně 5 dnů před datem konání.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Čl. 4</w:t>
      </w:r>
    </w:p>
    <w:p>
      <w:pPr>
        <w:pStyle w:val="Normal1"/>
        <w:spacing w:lineRule="auto" w:line="360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Zrušovací ustanovení</w:t>
      </w:r>
    </w:p>
    <w:p>
      <w:pPr>
        <w:pStyle w:val="Normal1"/>
        <w:spacing w:lineRule="auto" w:line="36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Zrušuje se obecně závazná vyhláška č. 6/2016 ze dne 25. 11. 2016.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Čl. 5</w:t>
      </w:r>
    </w:p>
    <w:p>
      <w:pPr>
        <w:pStyle w:val="Normal1"/>
        <w:spacing w:lineRule="auto" w:line="360"/>
        <w:jc w:val="center"/>
        <w:rPr>
          <w:rFonts w:ascii="Open Sans" w:hAnsi="Open Sans" w:eastAsia="Open Sans" w:cs="Open Sans"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Účinnost</w:t>
      </w:r>
    </w:p>
    <w:p>
      <w:pPr>
        <w:pStyle w:val="Normal1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Tato vyhláška nabývá účinnosti dne 1. 1. 2025.</w:t>
      </w:r>
    </w:p>
    <w:p>
      <w:pPr>
        <w:pStyle w:val="Normal1"/>
        <w:spacing w:lineRule="auto" w:line="264" w:before="120" w:after="0"/>
        <w:ind w:left="0" w:hanging="0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spacing w:lineRule="auto" w:line="264" w:before="120" w:after="0"/>
        <w:ind w:left="0" w:hanging="0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spacing w:lineRule="auto" w:line="264" w:before="120" w:after="0"/>
        <w:ind w:left="0" w:hanging="0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tabs>
          <w:tab w:val="clear" w:pos="720"/>
          <w:tab w:val="left" w:pos="1440" w:leader="none"/>
          <w:tab w:val="left" w:pos="7020" w:leader="none"/>
        </w:tabs>
        <w:spacing w:lineRule="auto" w:line="264"/>
        <w:jc w:val="both"/>
        <w:rPr>
          <w:rFonts w:ascii="Open Sans" w:hAnsi="Open Sans" w:eastAsia="Open Sans" w:cs="Open Sans"/>
          <w:color w:val="EFEFEF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ab/>
        <w:tab/>
      </w:r>
    </w:p>
    <w:p>
      <w:pPr>
        <w:pStyle w:val="Normal1"/>
        <w:tabs>
          <w:tab w:val="left" w:pos="720" w:leader="none"/>
          <w:tab w:val="left" w:pos="6120" w:leader="none"/>
        </w:tabs>
        <w:spacing w:lineRule="auto" w:line="264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ab/>
        <w:t>...................................</w:t>
        <w:tab/>
        <w:t>..........................................</w:t>
      </w:r>
    </w:p>
    <w:p>
      <w:pPr>
        <w:pStyle w:val="Normal1"/>
        <w:tabs>
          <w:tab w:val="clear" w:pos="720"/>
          <w:tab w:val="left" w:pos="1080" w:leader="none"/>
          <w:tab w:val="left" w:pos="6660" w:leader="none"/>
        </w:tabs>
        <w:spacing w:lineRule="auto" w:line="264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 xml:space="preserve">                   </w:t>
      </w:r>
      <w:r>
        <w:rPr>
          <w:rFonts w:eastAsia="Open Sans" w:cs="Open Sans" w:ascii="Open Sans" w:hAnsi="Open Sans"/>
          <w:sz w:val="20"/>
          <w:szCs w:val="20"/>
        </w:rPr>
        <w:t xml:space="preserve">místostarosta </w:t>
        <w:tab/>
        <w:t xml:space="preserve">    starosta</w:t>
      </w:r>
    </w:p>
    <w:p>
      <w:pPr>
        <w:pStyle w:val="Normal1"/>
        <w:tabs>
          <w:tab w:val="clear" w:pos="720"/>
          <w:tab w:val="left" w:pos="1080" w:leader="none"/>
          <w:tab w:val="left" w:pos="7020" w:leader="none"/>
        </w:tabs>
        <w:spacing w:lineRule="auto" w:line="264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 xml:space="preserve">                 </w:t>
      </w:r>
      <w:r>
        <w:rPr>
          <w:rFonts w:eastAsia="Open Sans" w:cs="Open Sans" w:ascii="Open Sans" w:hAnsi="Open Sans"/>
          <w:sz w:val="20"/>
          <w:szCs w:val="20"/>
        </w:rPr>
        <w:t>Bohumil Mencák                                                                                    Petr Řezáč</w:t>
      </w:r>
    </w:p>
    <w:p>
      <w:pPr>
        <w:pStyle w:val="Normal1"/>
        <w:tabs>
          <w:tab w:val="clear" w:pos="720"/>
          <w:tab w:val="left" w:pos="1080" w:leader="none"/>
          <w:tab w:val="left" w:pos="7020" w:leader="none"/>
        </w:tabs>
        <w:spacing w:lineRule="auto" w:line="264"/>
        <w:jc w:val="both"/>
        <w:rPr>
          <w:rFonts w:ascii="Open Sans" w:hAnsi="Open Sans" w:eastAsia="Open Sans" w:cs="Open Sans"/>
          <w:i/>
          <w:i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ab/>
        <w:t xml:space="preserve">        v.r.</w:t>
        <w:tab/>
        <w:t xml:space="preserve">  v.r.</w:t>
      </w:r>
    </w:p>
    <w:p>
      <w:pPr>
        <w:pStyle w:val="Normal1"/>
        <w:jc w:val="both"/>
        <w:rPr>
          <w:rFonts w:ascii="Open Sans" w:hAnsi="Open Sans" w:eastAsia="Open Sans" w:cs="Open Sans"/>
        </w:rPr>
      </w:pPr>
      <w:r>
        <w:rPr/>
      </w:r>
    </w:p>
    <w:sectPr>
      <w:footerReference w:type="default" r:id="rId2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Open Sans" w:hAnsi="Open Sans" w:eastAsia="Open Sans" w:cs="Open Sans"/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Open Sans" w:cs="Open Sans" w:ascii="Open Sans" w:hAnsi="Open Sans"/>
        <w:sz w:val="20"/>
        <w:szCs w:val="20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Zhlavazpat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2</Pages>
  <Words>366</Words>
  <Characters>1911</Characters>
  <CharactersWithSpaces>2374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2024-11-13T15:47:06Z</dcterms:modified>
  <cp:revision>1</cp:revision>
  <dc:subject/>
  <dc:title/>
</cp:coreProperties>
</file>