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2"/>
        <w:spacing w:lineRule="atLeast" w:line="280"/>
        <w:jc w:val="center"/>
        <w:rPr>
          <w:b/>
          <w:b/>
          <w:bCs/>
          <w:spacing w:val="40"/>
          <w:sz w:val="32"/>
          <w:szCs w:val="32"/>
          <w:u w:val="none"/>
        </w:rPr>
      </w:pPr>
      <w:r>
        <w:rPr>
          <w:b/>
          <w:bCs/>
          <w:spacing w:val="40"/>
          <w:sz w:val="32"/>
          <w:szCs w:val="32"/>
          <w:u w:val="none"/>
        </w:rPr>
      </w:r>
    </w:p>
    <w:p>
      <w:pPr>
        <w:pStyle w:val="Normal"/>
        <w:spacing w:lineRule="auto" w:line="276"/>
        <w:jc w:val="center"/>
        <w:rPr>
          <w:rFonts w:ascii="Arial" w:hAnsi="Arial" w:cs="Arial"/>
          <w:b/>
          <w:b/>
        </w:rPr>
      </w:pPr>
      <w:r>
        <w:rPr>
          <w:rFonts w:cs="Arial" w:ascii="Arial" w:hAnsi="Arial"/>
          <w:b/>
        </w:rPr>
        <w:t>OBEC CHUDENÍN</w:t>
      </w:r>
    </w:p>
    <w:p>
      <w:pPr>
        <w:pStyle w:val="Normal"/>
        <w:spacing w:lineRule="auto" w:line="276"/>
        <w:jc w:val="center"/>
        <w:rPr>
          <w:rFonts w:ascii="Arial" w:hAnsi="Arial" w:cs="Arial"/>
          <w:b/>
          <w:b/>
        </w:rPr>
      </w:pPr>
      <w:r>
        <w:rPr>
          <w:rFonts w:cs="Arial" w:ascii="Arial" w:hAnsi="Arial"/>
          <w:b/>
        </w:rPr>
        <w:t>Zastupitelstvo obce Chudenín</w:t>
      </w:r>
    </w:p>
    <w:p>
      <w:pPr>
        <w:pStyle w:val="Normal"/>
        <w:spacing w:lineRule="auto" w:line="276"/>
        <w:jc w:val="center"/>
        <w:rPr>
          <w:rFonts w:ascii="Arial" w:hAnsi="Arial" w:cs="Arial"/>
          <w:b/>
          <w:b/>
        </w:rPr>
      </w:pPr>
      <w:r>
        <w:rPr>
          <w:rFonts w:cs="Arial" w:ascii="Arial" w:hAnsi="Arial"/>
          <w:b/>
        </w:rPr>
      </w:r>
    </w:p>
    <w:p>
      <w:pPr>
        <w:pStyle w:val="Normal"/>
        <w:spacing w:lineRule="auto" w:line="276"/>
        <w:jc w:val="center"/>
        <w:rPr>
          <w:rFonts w:ascii="Arial" w:hAnsi="Arial" w:cs="Arial"/>
          <w:b/>
          <w:b/>
        </w:rPr>
      </w:pPr>
      <w:r>
        <w:rPr>
          <w:rFonts w:cs="Arial" w:ascii="Arial" w:hAnsi="Arial"/>
          <w:b/>
        </w:rPr>
        <w:t>Obecně závazná vyhláška obce Chudenín</w:t>
      </w:r>
    </w:p>
    <w:p>
      <w:pPr>
        <w:pStyle w:val="Normal"/>
        <w:spacing w:lineRule="auto" w:line="276"/>
        <w:jc w:val="center"/>
        <w:rPr>
          <w:rFonts w:ascii="Arial" w:hAnsi="Arial" w:cs="Arial"/>
          <w:b/>
          <w:b/>
        </w:rPr>
      </w:pPr>
      <w:r>
        <w:rPr>
          <w:rFonts w:cs="Arial" w:ascii="Arial" w:hAnsi="Arial"/>
          <w:b/>
        </w:rPr>
        <w:t>o místním poplatku ze psů</w:t>
      </w:r>
    </w:p>
    <w:p>
      <w:pPr>
        <w:pStyle w:val="Normal"/>
        <w:spacing w:lineRule="auto" w:line="276"/>
        <w:jc w:val="center"/>
        <w:rPr>
          <w:rFonts w:ascii="Arial" w:hAnsi="Arial" w:cs="Arial"/>
          <w:b/>
          <w:b/>
        </w:rPr>
      </w:pPr>
      <w:r>
        <w:rPr>
          <w:rFonts w:cs="Arial" w:ascii="Arial" w:hAnsi="Arial"/>
          <w:b/>
        </w:rPr>
      </w:r>
    </w:p>
    <w:p>
      <w:pPr>
        <w:pStyle w:val="Normal"/>
        <w:spacing w:lineRule="auto" w:line="288"/>
        <w:jc w:val="both"/>
        <w:rPr>
          <w:rFonts w:ascii="Arial" w:hAnsi="Arial" w:cs="Arial"/>
          <w:sz w:val="22"/>
          <w:szCs w:val="22"/>
        </w:rPr>
      </w:pPr>
      <w:r>
        <w:rPr>
          <w:rFonts w:cs="Arial" w:ascii="Arial" w:hAnsi="Arial"/>
          <w:sz w:val="22"/>
          <w:szCs w:val="22"/>
        </w:rPr>
        <w:t xml:space="preserve">Zastupitelstvo obce Chudenín se na svém zasedání dne 12. 12.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Obec Chudenín touto vyhláškou zavádí místní poplatek ze psů (dále jen „poplatek“).</w:t>
      </w:r>
    </w:p>
    <w:p>
      <w:pPr>
        <w:pStyle w:val="Normal"/>
        <w:numPr>
          <w:ilvl w:val="0"/>
          <w:numId w:val="1"/>
        </w:numPr>
        <w:spacing w:before="120" w:after="0"/>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2"/>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Správcem poplatku je obecní úřad Chudenín.</w:t>
      </w:r>
      <w:r>
        <w:rPr>
          <w:rStyle w:val="Ukotvenpoznmkypodarou"/>
          <w:rFonts w:cs="Arial" w:ascii="Arial" w:hAnsi="Arial"/>
          <w:sz w:val="22"/>
          <w:szCs w:val="22"/>
          <w:vertAlign w:val="superscript"/>
        </w:rPr>
        <w:footnoteReference w:id="3"/>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4"/>
        </w:numPr>
        <w:spacing w:lineRule="auto" w:line="288" w:before="120" w:after="0"/>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t xml:space="preserve"> </w:t>
      </w:r>
      <w:r>
        <w:rPr>
          <w:rFonts w:cs="Arial" w:ascii="Arial" w:hAnsi="Arial"/>
          <w:sz w:val="22"/>
          <w:szCs w:val="22"/>
        </w:rPr>
        <w:t>poplatek ze psů platí poplatník obci Chudenín příslušné podle svého místa přihlášení nebo sídla.</w:t>
      </w:r>
      <w:r>
        <w:rPr>
          <w:rStyle w:val="Ukotvenpoznmkypodarou"/>
          <w:rFonts w:cs="Arial" w:ascii="Arial" w:hAnsi="Arial"/>
          <w:sz w:val="22"/>
          <w:szCs w:val="22"/>
          <w:vertAlign w:val="superscript"/>
        </w:rPr>
        <w:footnoteReference w:id="4"/>
      </w:r>
    </w:p>
    <w:p>
      <w:pPr>
        <w:pStyle w:val="Normal"/>
        <w:numPr>
          <w:ilvl w:val="0"/>
          <w:numId w:val="4"/>
        </w:numPr>
        <w:spacing w:lineRule="auto" w:line="288" w:before="120" w:after="0"/>
        <w:jc w:val="both"/>
        <w:rPr>
          <w:rFonts w:ascii="Arial" w:hAnsi="Arial" w:cs="Arial"/>
          <w:sz w:val="22"/>
          <w:szCs w:val="22"/>
        </w:rPr>
      </w:pPr>
      <w:r>
        <w:rPr>
          <w:rFonts w:cs="Arial" w:ascii="Arial" w:hAnsi="Arial"/>
          <w:sz w:val="22"/>
          <w:szCs w:val="22"/>
        </w:rPr>
        <w:t>Poplatek ze psů se platí ze psů starších 3 měsíců.</w:t>
      </w:r>
      <w:r>
        <w:rPr>
          <w:rStyle w:val="Ukotvenpoznmkypodarou"/>
          <w:rFonts w:cs="Arial" w:ascii="Arial" w:hAnsi="Arial"/>
          <w:sz w:val="22"/>
          <w:szCs w:val="22"/>
          <w:vertAlign w:val="superscript"/>
        </w:rPr>
        <w:footnoteReference w:id="5"/>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 xml:space="preserve">Poplatník je povinen podat správci poplatku ohlášení nejpozději do 30 dnů ode dne, kdy se pes stal starším 3 měsíců, nebo ode dne, kdy nabyl psa staršího 3 měsíců; </w:t>
      </w:r>
      <w:bookmarkStart w:id="0" w:name="_Hlk141019990"/>
      <w:r>
        <w:rPr>
          <w:rFonts w:cs="Arial" w:ascii="Arial" w:hAnsi="Arial"/>
          <w:sz w:val="22"/>
          <w:szCs w:val="22"/>
        </w:rPr>
        <w:t>údaje uváděné v ohlášení upravuje zákon.</w:t>
      </w:r>
      <w:bookmarkEnd w:id="0"/>
      <w:r>
        <w:rPr>
          <w:rStyle w:val="Ukotvenpoznmkypodarou"/>
          <w:rFonts w:cs="Arial" w:ascii="Arial" w:hAnsi="Arial"/>
          <w:sz w:val="22"/>
          <w:szCs w:val="22"/>
        </w:rPr>
        <w:footnoteReference w:id="6"/>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Dojde-li ke změně údajů uvedených v ohlášení, je poplatník povinen tuto změnu oznámit do 15 dnů ode dne, kdy nastala.</w:t>
      </w:r>
      <w:r>
        <w:rPr>
          <w:rStyle w:val="Ukotvenpoznmkypodarou"/>
          <w:rFonts w:cs="Arial" w:ascii="Arial" w:hAnsi="Arial"/>
          <w:sz w:val="22"/>
          <w:szCs w:val="22"/>
        </w:rPr>
        <w:footnoteReference w:id="7"/>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numPr>
          <w:ilvl w:val="0"/>
          <w:numId w:val="5"/>
        </w:numPr>
        <w:spacing w:lineRule="auto" w:line="288" w:before="120" w:after="0"/>
        <w:jc w:val="both"/>
        <w:rPr>
          <w:rFonts w:ascii="Arial" w:hAnsi="Arial" w:cs="Arial"/>
          <w:sz w:val="22"/>
          <w:szCs w:val="22"/>
        </w:rPr>
      </w:pPr>
      <w:r>
        <w:rPr>
          <w:rFonts w:cs="Arial" w:ascii="Arial" w:hAnsi="Arial"/>
          <w:sz w:val="22"/>
          <w:szCs w:val="22"/>
        </w:rPr>
        <w:t>Sazba poplatku za kalendářní rok činí:</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za jednoho psa</w:t>
        <w:tab/>
        <w:tab/>
        <w:tab/>
        <w:tab/>
        <w:tab/>
        <w:tab/>
        <w:tab/>
        <w:tab/>
        <w:t xml:space="preserve">  60 Kč,</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za druhého a každého dalšího psa téhož držitele</w:t>
        <w:tab/>
        <w:tab/>
        <w:tab/>
        <w:t>120 Kč.</w:t>
      </w:r>
    </w:p>
    <w:p>
      <w:pPr>
        <w:pStyle w:val="Normal"/>
        <w:numPr>
          <w:ilvl w:val="0"/>
          <w:numId w:val="0"/>
        </w:numPr>
        <w:spacing w:lineRule="auto" w:line="288" w:before="60" w:after="0"/>
        <w:ind w:left="1021" w:hanging="0"/>
        <w:rPr>
          <w:rFonts w:ascii="Arial" w:hAnsi="Arial" w:cs="Arial"/>
          <w:sz w:val="22"/>
          <w:szCs w:val="22"/>
        </w:rPr>
      </w:pPr>
      <w:r>
        <w:rPr>
          <w:rFonts w:cs="Arial" w:ascii="Arial" w:hAnsi="Arial"/>
          <w:sz w:val="22"/>
          <w:szCs w:val="22"/>
        </w:rPr>
      </w:r>
    </w:p>
    <w:p>
      <w:pPr>
        <w:pStyle w:val="Normal"/>
        <w:numPr>
          <w:ilvl w:val="0"/>
          <w:numId w:val="5"/>
        </w:numPr>
        <w:suppressAutoHyphens w:val="true"/>
        <w:spacing w:lineRule="auto" w:line="288" w:before="120" w:after="0"/>
        <w:jc w:val="both"/>
        <w:rPr/>
      </w:pPr>
      <w:r>
        <w:rPr>
          <w:rFonts w:cs="Arial" w:ascii="Arial" w:hAnsi="Arial"/>
          <w:sz w:val="22"/>
          <w:szCs w:val="22"/>
        </w:rPr>
        <w:t>V případě trvání poplatkové povinnosti po dobu kratší než jeden rok se platí poplatek v poměrné výši, která odpovídá počtu i započatých kalendářních měsíců.</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t xml:space="preserve">Čl. 5 </w:t>
      </w:r>
    </w:p>
    <w:p>
      <w:pPr>
        <w:pStyle w:val="Nzvylnk"/>
        <w:rPr>
          <w:rFonts w:ascii="Arial" w:hAnsi="Arial" w:cs="Arial"/>
        </w:rPr>
      </w:pPr>
      <w:r>
        <w:rPr>
          <w:rFonts w:cs="Arial" w:ascii="Arial" w:hAnsi="Arial"/>
        </w:rPr>
        <w:t xml:space="preserve">Splatnost poplatku </w:t>
      </w:r>
    </w:p>
    <w:p>
      <w:pPr>
        <w:pStyle w:val="Nzvylnk"/>
        <w:jc w:val="left"/>
        <w:rPr>
          <w:rFonts w:ascii="Arial" w:hAnsi="Arial" w:cs="Arial"/>
          <w:color w:val="0070C0"/>
        </w:rPr>
      </w:pPr>
      <w:r>
        <w:rPr>
          <w:rFonts w:cs="Arial" w:ascii="Arial" w:hAnsi="Arial"/>
          <w:color w:val="0070C0"/>
        </w:rPr>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Poplatek je splatný nejpozději do 31.března příslušného kalendářního roku.</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w:t>
      </w:r>
    </w:p>
    <w:p>
      <w:pPr>
        <w:pStyle w:val="Normal"/>
        <w:numPr>
          <w:ilvl w:val="0"/>
          <w:numId w:val="6"/>
        </w:numPr>
        <w:suppressAutoHyphens w:val="true"/>
        <w:spacing w:lineRule="auto" w:line="264" w:before="120" w:after="0"/>
        <w:jc w:val="both"/>
        <w:rPr>
          <w:rFonts w:ascii="Arial" w:hAnsi="Arial" w:cs="Arial"/>
          <w:sz w:val="22"/>
          <w:szCs w:val="22"/>
        </w:rPr>
      </w:pPr>
      <w:r>
        <w:rPr>
          <w:rFonts w:cs="Arial" w:ascii="Arial" w:hAnsi="Arial"/>
          <w:sz w:val="22"/>
          <w:szCs w:val="22"/>
        </w:rPr>
        <w:t>Lhůta splatnosti neskončí poplatníkovi dříve než lhůta pro podání ohlášení podle čl. 3 odst. 1 této vyhlášky.</w:t>
      </w:r>
    </w:p>
    <w:p>
      <w:pPr>
        <w:pStyle w:val="Normal"/>
        <w:spacing w:lineRule="auto" w:line="288" w:before="120" w:after="0"/>
        <w:jc w:val="both"/>
        <w:rPr>
          <w:rFonts w:ascii="Arial" w:hAnsi="Arial" w:cs="Arial"/>
          <w:color w:val="1A4BD6"/>
          <w:sz w:val="22"/>
          <w:szCs w:val="22"/>
        </w:rPr>
      </w:pPr>
      <w:r>
        <w:rPr>
          <w:rFonts w:cs="Arial" w:ascii="Arial" w:hAnsi="Arial"/>
          <w:color w:val="1A4BD6"/>
          <w:sz w:val="22"/>
          <w:szCs w:val="22"/>
        </w:rPr>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Osvobození a úlevy</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cs="Arial" w:ascii="Arial" w:hAnsi="Arial"/>
          <w:sz w:val="22"/>
          <w:szCs w:val="22"/>
        </w:rPr>
        <w:footnoteReference w:id="9"/>
      </w:r>
      <w:r>
        <w:rPr>
          <w:rFonts w:cs="Arial" w:ascii="Arial" w:hAnsi="Arial"/>
          <w:sz w:val="22"/>
          <w:szCs w:val="22"/>
        </w:rPr>
        <w:t xml:space="preserve">. </w:t>
      </w:r>
    </w:p>
    <w:p>
      <w:pPr>
        <w:pStyle w:val="Normal"/>
        <w:numPr>
          <w:ilvl w:val="0"/>
          <w:numId w:val="0"/>
        </w:numPr>
        <w:spacing w:lineRule="auto" w:line="288" w:before="120" w:after="0"/>
        <w:ind w:left="567" w:hanging="0"/>
        <w:jc w:val="both"/>
        <w:rPr>
          <w:rFonts w:ascii="Arial" w:hAnsi="Arial" w:cs="Arial"/>
          <w:sz w:val="22"/>
          <w:szCs w:val="22"/>
        </w:rPr>
      </w:pPr>
      <w:r>
        <w:rPr>
          <w:rFonts w:cs="Arial" w:ascii="Arial" w:hAnsi="Arial"/>
          <w:sz w:val="22"/>
          <w:szCs w:val="22"/>
        </w:rPr>
      </w:r>
    </w:p>
    <w:p>
      <w:pPr>
        <w:pStyle w:val="Normal"/>
        <w:numPr>
          <w:ilvl w:val="0"/>
          <w:numId w:val="3"/>
        </w:numPr>
        <w:spacing w:lineRule="auto" w:line="288" w:before="120" w:after="0"/>
        <w:jc w:val="both"/>
        <w:rPr/>
      </w:pPr>
      <w:r>
        <w:rPr>
          <w:rFonts w:cs="Arial" w:ascii="Arial" w:hAnsi="Arial"/>
          <w:sz w:val="22"/>
          <w:szCs w:val="22"/>
        </w:rPr>
        <w:t>Úleva se poskytuje:</w:t>
      </w:r>
    </w:p>
    <w:p>
      <w:pPr>
        <w:pStyle w:val="Normal"/>
        <w:numPr>
          <w:ilvl w:val="0"/>
          <w:numId w:val="0"/>
        </w:numPr>
        <w:spacing w:lineRule="auto" w:line="288" w:before="120" w:after="0"/>
        <w:ind w:left="567" w:hanging="0"/>
        <w:jc w:val="both"/>
        <w:rPr/>
      </w:pPr>
      <w:r>
        <w:rPr>
          <w:rFonts w:cs="Arial" w:ascii="Arial" w:hAnsi="Arial"/>
          <w:sz w:val="22"/>
          <w:szCs w:val="22"/>
        </w:rPr>
        <w:t>„</w:t>
      </w:r>
      <w:r>
        <w:rPr>
          <w:rFonts w:cs="Arial" w:ascii="Arial" w:hAnsi="Arial"/>
          <w:sz w:val="22"/>
          <w:szCs w:val="22"/>
        </w:rPr>
        <w:t>Úleva ve výši 30 Kč se poskytuje poplatníkovi, který je poživatelem starobního, vdovského nebo vdoveckého důchodu, který je jeho jediným zdrojem příjmů a osamělý důchodce.“</w:t>
        <w:tab/>
        <w:t xml:space="preserve">  </w:t>
      </w:r>
    </w:p>
    <w:p>
      <w:pPr>
        <w:pStyle w:val="Normal"/>
        <w:spacing w:lineRule="auto" w:line="312" w:before="60" w:after="0"/>
        <w:ind w:left="567" w:hanging="0"/>
        <w:jc w:val="both"/>
        <w:rPr>
          <w:rFonts w:ascii="Arial" w:hAnsi="Arial" w:cs="Arial"/>
          <w:sz w:val="22"/>
          <w:szCs w:val="22"/>
        </w:rPr>
      </w:pPr>
      <w:r>
        <w:rPr>
          <w:rFonts w:cs="Arial" w:ascii="Arial" w:hAnsi="Arial"/>
          <w:sz w:val="22"/>
          <w:szCs w:val="22"/>
        </w:rPr>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V případě, že poplatník nesplní povinnost ohlásit údaj rozhodný pro osvobození nebo úlevu ve lhůtách stanovených touto vyhláškou nebo zákonem, nárok na osvobození nebo úlevu zaniká.</w:t>
      </w:r>
      <w:r>
        <w:rPr>
          <w:rStyle w:val="Ukotvenpoznmkypodarou"/>
          <w:rFonts w:cs="Arial" w:ascii="Arial" w:hAnsi="Arial"/>
          <w:sz w:val="22"/>
          <w:szCs w:val="22"/>
        </w:rPr>
        <w:footnoteReference w:id="10"/>
      </w:r>
    </w:p>
    <w:p>
      <w:pPr>
        <w:pStyle w:val="Normal"/>
        <w:spacing w:lineRule="auto" w:line="312" w:before="60" w:after="0"/>
        <w:ind w:left="567" w:hanging="0"/>
        <w:jc w:val="both"/>
        <w:rPr>
          <w:rFonts w:ascii="Arial" w:hAnsi="Arial" w:cs="Arial"/>
          <w:sz w:val="22"/>
          <w:szCs w:val="22"/>
        </w:rPr>
      </w:pPr>
      <w:r>
        <w:rPr>
          <w:rFonts w:cs="Arial" w:ascii="Arial" w:hAnsi="Arial"/>
          <w:sz w:val="22"/>
          <w:szCs w:val="22"/>
        </w:rPr>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p>
      <w:pPr>
        <w:pStyle w:val="Slalnk"/>
        <w:spacing w:before="480" w:after="60"/>
        <w:rPr>
          <w:rFonts w:ascii="Arial" w:hAnsi="Arial" w:cs="Arial"/>
        </w:rPr>
      </w:pPr>
      <w:r>
        <w:rPr>
          <w:rFonts w:cs="Arial" w:ascii="Arial" w:hAnsi="Arial"/>
        </w:rPr>
        <w:t>Čl. 7</w:t>
      </w:r>
    </w:p>
    <w:p>
      <w:pPr>
        <w:pStyle w:val="Nzvylnk"/>
        <w:tabs>
          <w:tab w:val="clear" w:pos="708"/>
          <w:tab w:val="left" w:pos="3015" w:leader="none"/>
          <w:tab w:val="center" w:pos="4536" w:leader="none"/>
        </w:tabs>
        <w:rPr>
          <w:rFonts w:ascii="Arial" w:hAnsi="Arial" w:cs="Arial"/>
        </w:rPr>
      </w:pPr>
      <w:r>
        <w:rPr>
          <w:rFonts w:cs="Arial" w:ascii="Arial" w:hAnsi="Arial"/>
        </w:rPr>
        <w:t>Přechodné a zrušovací ustanovení</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 xml:space="preserve">Zrušuje se obecně závazná vyhláška č. 1 </w:t>
      </w:r>
      <w:r>
        <w:rPr>
          <w:rFonts w:cs="Arial" w:ascii="Arial" w:hAnsi="Arial"/>
          <w:i/>
          <w:sz w:val="22"/>
          <w:szCs w:val="22"/>
        </w:rPr>
        <w:t xml:space="preserve">/1994, Vyhláška č.1. obce Chudenín o místních poplatcích </w:t>
      </w:r>
      <w:r>
        <w:rPr>
          <w:rFonts w:cs="Arial" w:ascii="Arial" w:hAnsi="Arial"/>
          <w:sz w:val="22"/>
          <w:szCs w:val="22"/>
        </w:rPr>
        <w:t>ze dne</w:t>
      </w:r>
      <w:r>
        <w:rPr>
          <w:rFonts w:cs="Arial" w:ascii="Arial" w:hAnsi="Arial"/>
          <w:i/>
          <w:sz w:val="22"/>
          <w:szCs w:val="22"/>
        </w:rPr>
        <w:t xml:space="preserve"> 28.06.1994 datum účinnosti 15.7.1994 schváleno ZO 28.6.1994 </w:t>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Účinnost</w:t>
      </w:r>
    </w:p>
    <w:p>
      <w:pPr>
        <w:pStyle w:val="Normal"/>
        <w:spacing w:lineRule="auto" w:line="288" w:before="120" w:after="0"/>
        <w:ind w:firstLine="709"/>
        <w:jc w:val="both"/>
        <w:rPr>
          <w:rFonts w:ascii="Arial" w:hAnsi="Arial" w:cs="Arial"/>
          <w:sz w:val="22"/>
          <w:szCs w:val="22"/>
        </w:rPr>
      </w:pPr>
      <w:r>
        <w:rPr>
          <w:rFonts w:cs="Arial" w:ascii="Arial" w:hAnsi="Arial"/>
          <w:sz w:val="22"/>
          <w:szCs w:val="22"/>
        </w:rPr>
        <w:t>Tato vyhláška nabývá účinnosti dnem 1. 1. 2024.</w:t>
      </w:r>
    </w:p>
    <w:p>
      <w:pPr>
        <w:pStyle w:val="Nzvylnk"/>
        <w:jc w:val="left"/>
        <w:rPr>
          <w:rFonts w:ascii="Arial" w:hAnsi="Arial" w:cs="Arial"/>
          <w:b w:val="false"/>
          <w:b w:val="false"/>
          <w:bCs w:val="false"/>
          <w:i/>
          <w:i/>
          <w:color w:val="1A4BD6"/>
          <w:szCs w:val="24"/>
        </w:rPr>
      </w:pPr>
      <w:r>
        <w:rPr>
          <w:rFonts w:cs="Arial" w:ascii="Arial" w:hAnsi="Arial"/>
          <w:b w:val="false"/>
          <w:bCs w:val="false"/>
          <w:i/>
          <w:color w:val="1A4BD6"/>
          <w:szCs w:val="24"/>
        </w:rPr>
      </w:r>
    </w:p>
    <w:p>
      <w:pPr>
        <w:pStyle w:val="Nzvylnk"/>
        <w:jc w:val="left"/>
        <w:rPr>
          <w:rFonts w:ascii="Arial" w:hAnsi="Arial" w:cs="Arial"/>
          <w:color w:val="0070C0"/>
        </w:rPr>
      </w:pPr>
      <w:r>
        <w:rPr>
          <w:rFonts w:cs="Arial" w:ascii="Arial" w:hAnsi="Arial"/>
          <w:color w:val="0070C0"/>
        </w:rPr>
      </w:r>
    </w:p>
    <w:p>
      <w:pPr>
        <w:pStyle w:val="Normal"/>
        <w:jc w:val="both"/>
        <w:rPr>
          <w:rFonts w:ascii="Arial" w:hAnsi="Arial" w:cs="Arial"/>
          <w:i/>
          <w:i/>
          <w:color w:val="ED7D31"/>
          <w:sz w:val="20"/>
          <w:szCs w:val="20"/>
        </w:rPr>
      </w:pPr>
      <w:r>
        <w:rPr>
          <w:rFonts w:cs="Arial" w:ascii="Arial" w:hAnsi="Arial"/>
          <w:sz w:val="22"/>
          <w:szCs w:val="22"/>
        </w:rPr>
        <w:t xml:space="preserve">                     </w:t>
      </w:r>
      <w:r>
        <w:rPr>
          <w:rFonts w:cs="Arial" w:ascii="Arial" w:hAnsi="Arial"/>
          <w:sz w:val="22"/>
          <w:szCs w:val="22"/>
        </w:rPr>
        <w:t>Tomáš Rayser</w:t>
        <w:tab/>
        <w:tab/>
        <w:tab/>
        <w:tab/>
        <w:tab/>
        <w:tab/>
        <w:t>Ing. Jaroslav Bouzek</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tab/>
        <w:t xml:space="preserve">     místostarosta  </w:t>
        <w:tab/>
        <w:t>starosta</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Normal"/>
        <w:spacing w:lineRule="auto" w:line="288" w:before="120" w:after="0"/>
        <w:ind w:left="708" w:firstLine="1"/>
        <w:jc w:val="both"/>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
    </w:p>
    <w:sectPr>
      <w:footerReference w:type="default" r:id="rId2"/>
      <w:footnotePr>
        <w:numFmt w:val="decimal"/>
      </w:footnotePr>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Calibri">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rFonts w:ascii="Arial" w:hAnsi="Arial" w:cs="Arial"/>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3</w:t>
    </w:r>
    <w:r>
      <w:rPr>
        <w:rFonts w:cs="Arial" w:ascii="Arial" w:hAnsi="Arial"/>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5 zákona o místních poplatcích</w:t>
      </w:r>
    </w:p>
  </w:footnote>
  <w:footnote w:id="3">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4">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1 a odst. 4 zákona o místních poplatcích</w:t>
      </w:r>
    </w:p>
  </w:footnote>
  <w:footnote w:id="5">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6">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1 a 2 zákona o místních poplatcích; v ohlášení poplatník uvede zejména své identifikační údaje a skutečnosti rozhodné pro stanovení poplatku</w:t>
      </w:r>
    </w:p>
  </w:footnote>
  <w:footnote w:id="7">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8">
    <w:p>
      <w:pPr>
        <w:pStyle w:val="Poznmkapodarou"/>
        <w:jc w:val="both"/>
        <w:rPr/>
      </w:pPr>
      <w:r>
        <w:rPr>
          <w:rStyle w:val="Znakypropoznmkupodarou"/>
        </w:rPr>
        <w:footnoteRef/>
      </w:r>
      <w:r>
        <w:rPr>
          <w:rFonts w:cs="Arial" w:ascii="Arial" w:hAnsi="Arial"/>
          <w:sz w:val="18"/>
          <w:szCs w:val="18"/>
        </w:rPr>
        <w:t xml:space="preserve"> </w:t>
      </w:r>
      <w:r>
        <w:rPr>
          <w:rFonts w:cs="Arial" w:ascii="Arial" w:hAnsi="Arial"/>
          <w:sz w:val="18"/>
          <w:szCs w:val="18"/>
        </w:rPr>
        <w:t>§ 2 odst. 3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7">
    <w:lvl w:ilvl="0">
      <w:start w:val="1"/>
      <w:numFmt w:val="decimal"/>
      <w:lvlText w:val="%1."/>
      <w:lvlJc w:val="left"/>
      <w:pPr>
        <w:tabs>
          <w:tab w:val="num" w:pos="425"/>
        </w:tabs>
        <w:ind w:left="425" w:hanging="425"/>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b6940"/>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893f98"/>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semiHidden/>
    <w:qFormat/>
    <w:rsid w:val="00893f98"/>
    <w:rPr>
      <w:sz w:val="24"/>
      <w:szCs w:val="24"/>
      <w:u w:val="single"/>
      <w:lang w:val="cs-CZ" w:eastAsia="cs-CZ" w:bidi="ar-SA"/>
    </w:rPr>
  </w:style>
  <w:style w:type="character" w:styleId="ZhlavChar" w:customStyle="1">
    <w:name w:val="Záhlaví Char"/>
    <w:semiHidden/>
    <w:qFormat/>
    <w:rsid w:val="00893f98"/>
    <w:rPr>
      <w:sz w:val="24"/>
      <w:szCs w:val="24"/>
      <w:lang w:val="cs-CZ" w:eastAsia="cs-CZ" w:bidi="ar-SA"/>
    </w:rPr>
  </w:style>
  <w:style w:type="character" w:styleId="ZkladntextChar" w:customStyle="1">
    <w:name w:val="Základní text Char"/>
    <w:qFormat/>
    <w:rsid w:val="00893f98"/>
    <w:rPr>
      <w:sz w:val="24"/>
      <w:szCs w:val="24"/>
      <w:lang w:val="cs-CZ" w:eastAsia="cs-CZ" w:bidi="ar-SA"/>
    </w:rPr>
  </w:style>
  <w:style w:type="character" w:styleId="TextpoznpodarouChar" w:customStyle="1">
    <w:name w:val="Text pozn. pod čarou Char"/>
    <w:semiHidden/>
    <w:qFormat/>
    <w:rsid w:val="00893f98"/>
    <w:rPr>
      <w:lang w:val="cs-CZ" w:eastAsia="cs-CZ" w:bidi="ar-SA"/>
    </w:rPr>
  </w:style>
  <w:style w:type="character" w:styleId="Ukotvenpoznmkypodarou">
    <w:name w:val="Ukotvení poznámky pod čarou"/>
    <w:rPr>
      <w:vertAlign w:val="superscript"/>
    </w:rPr>
  </w:style>
  <w:style w:type="character" w:styleId="FootnoteCharacters">
    <w:name w:val="Footnote Characters"/>
    <w:qFormat/>
    <w:rsid w:val="00893f98"/>
    <w:rPr>
      <w:vertAlign w:val="superscript"/>
    </w:rPr>
  </w:style>
  <w:style w:type="character" w:styleId="TextbublinyChar" w:customStyle="1">
    <w:name w:val="Text bubliny Char"/>
    <w:link w:val="BalloonText"/>
    <w:qFormat/>
    <w:rsid w:val="00b84bba"/>
    <w:rPr>
      <w:rFonts w:ascii="Segoe UI" w:hAnsi="Segoe UI" w:cs="Segoe UI"/>
      <w:sz w:val="18"/>
      <w:szCs w:val="18"/>
    </w:rPr>
  </w:style>
  <w:style w:type="character" w:styleId="Annotationreference">
    <w:name w:val="annotation reference"/>
    <w:uiPriority w:val="99"/>
    <w:qFormat/>
    <w:rsid w:val="009e6604"/>
    <w:rPr>
      <w:sz w:val="16"/>
      <w:szCs w:val="16"/>
    </w:rPr>
  </w:style>
  <w:style w:type="character" w:styleId="TextkomenteChar" w:customStyle="1">
    <w:name w:val="Text komentáře Char"/>
    <w:basedOn w:val="DefaultParagraphFont"/>
    <w:link w:val="Annotationtext"/>
    <w:uiPriority w:val="99"/>
    <w:qFormat/>
    <w:rsid w:val="009e6604"/>
    <w:rPr/>
  </w:style>
  <w:style w:type="character" w:styleId="ZpatChar" w:customStyle="1">
    <w:name w:val="Zápatí Char"/>
    <w:uiPriority w:val="99"/>
    <w:qFormat/>
    <w:rsid w:val="005f4061"/>
    <w:rPr>
      <w:rFonts w:ascii="Calibri" w:hAnsi="Calibri" w:eastAsia="Calibri"/>
      <w:sz w:val="22"/>
      <w:szCs w:val="22"/>
      <w:lang w:eastAsia="en-US"/>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893f98"/>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Zhlavazpat">
    <w:name w:val="Záhlaví a zápatí"/>
    <w:basedOn w:val="Normal"/>
    <w:qFormat/>
    <w:pPr/>
    <w:rPr/>
  </w:style>
  <w:style w:type="paragraph" w:styleId="Zhlav">
    <w:name w:val="Header"/>
    <w:basedOn w:val="Normal"/>
    <w:link w:val="ZhlavChar"/>
    <w:rsid w:val="00893f98"/>
    <w:pPr>
      <w:tabs>
        <w:tab w:val="clear" w:pos="708"/>
        <w:tab w:val="center" w:pos="4536" w:leader="none"/>
        <w:tab w:val="right" w:pos="9072" w:leader="none"/>
      </w:tabs>
    </w:pPr>
    <w:rPr/>
  </w:style>
  <w:style w:type="paragraph" w:styleId="Poznmkapodarou">
    <w:name w:val="Footnote Text"/>
    <w:basedOn w:val="Normal"/>
    <w:link w:val="TextpoznpodarouChar"/>
    <w:rsid w:val="00893f98"/>
    <w:pPr/>
    <w:rPr>
      <w:sz w:val="20"/>
      <w:szCs w:val="20"/>
    </w:rPr>
  </w:style>
  <w:style w:type="paragraph" w:styleId="Slalnk" w:customStyle="1">
    <w:name w:val="Čísla článků"/>
    <w:basedOn w:val="Normal"/>
    <w:qFormat/>
    <w:rsid w:val="00893f98"/>
    <w:pPr>
      <w:keepNext w:val="true"/>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Textpozmn" w:customStyle="1">
    <w:name w:val="Text pozm.n."/>
    <w:basedOn w:val="Normal"/>
    <w:next w:val="Normal"/>
    <w:qFormat/>
    <w:rsid w:val="00e66429"/>
    <w:pPr>
      <w:numPr>
        <w:ilvl w:val="0"/>
        <w:numId w:val="7"/>
      </w:numPr>
      <w:tabs>
        <w:tab w:val="clear" w:pos="708"/>
        <w:tab w:val="left" w:pos="851" w:leader="none"/>
      </w:tabs>
      <w:spacing w:before="0" w:after="120"/>
      <w:ind w:left="850" w:hanging="0"/>
      <w:jc w:val="both"/>
    </w:pPr>
    <w:rPr>
      <w:szCs w:val="20"/>
    </w:rPr>
  </w:style>
  <w:style w:type="paragraph" w:styleId="BalloonText">
    <w:name w:val="Balloon Text"/>
    <w:basedOn w:val="Normal"/>
    <w:link w:val="TextbublinyChar"/>
    <w:qFormat/>
    <w:rsid w:val="00b84bba"/>
    <w:pPr/>
    <w:rPr>
      <w:rFonts w:ascii="Segoe UI" w:hAnsi="Segoe UI" w:cs="Segoe UI"/>
      <w:sz w:val="18"/>
      <w:szCs w:val="18"/>
    </w:rPr>
  </w:style>
  <w:style w:type="paragraph" w:styleId="Annotationtext">
    <w:name w:val="annotation text"/>
    <w:basedOn w:val="Normal"/>
    <w:link w:val="TextkomenteChar"/>
    <w:uiPriority w:val="99"/>
    <w:qFormat/>
    <w:rsid w:val="009e6604"/>
    <w:pPr/>
    <w:rPr>
      <w:sz w:val="20"/>
      <w:szCs w:val="20"/>
    </w:rPr>
  </w:style>
  <w:style w:type="paragraph" w:styleId="Zpat">
    <w:name w:val="Footer"/>
    <w:basedOn w:val="Normal"/>
    <w:link w:val="ZpatChar"/>
    <w:uiPriority w:val="99"/>
    <w:unhideWhenUsed/>
    <w:rsid w:val="005f4061"/>
    <w:pPr>
      <w:tabs>
        <w:tab w:val="clear" w:pos="708"/>
        <w:tab w:val="center" w:pos="4536" w:leader="none"/>
        <w:tab w:val="right" w:pos="9072" w:leader="none"/>
      </w:tabs>
    </w:pPr>
    <w:rPr>
      <w:rFonts w:ascii="Calibri" w:hAnsi="Calibri" w:eastAsia="Calibri"/>
      <w:sz w:val="22"/>
      <w:szCs w:val="22"/>
      <w:lang w:eastAsia="en-U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02B7-648C-4ABF-9C57-70CAEDB1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LibreOffice/7.3.2.2$Windows_X86_64 LibreOffice_project/49f2b1bff42cfccbd8f788c8dc32c1c309559be0</Application>
  <AppVersion>15.0000</AppVersion>
  <Pages>3</Pages>
  <Words>626</Words>
  <Characters>3309</Characters>
  <CharactersWithSpaces>3924</CharactersWithSpaces>
  <Paragraphs>54</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2023-09-12T18:52:00Z</dcterms:created>
  <dc:creator>Žemlová Hana, JUDr.</dc:creator>
  <dc:description/>
  <dc:language>cs-CZ</dc:language>
  <cp:lastModifiedBy/>
  <cp:lastPrinted>2019-09-23T08:46:00Z</cp:lastPrinted>
  <dcterms:modified xsi:type="dcterms:W3CDTF">2023-11-22T15:44:50Z</dcterms:modified>
  <cp:revision>8</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