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C0" w:rsidRDefault="003239C0">
      <w:pPr>
        <w:pStyle w:val="Nzev"/>
        <w:spacing w:before="0" w:after="288" w:line="276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3239C0" w:rsidRDefault="00116ED5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Zábřeh</w:t>
      </w:r>
    </w:p>
    <w:p w:rsidR="003239C0" w:rsidRDefault="00116ED5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Zastupitelstvo města Zábřeh</w:t>
      </w:r>
    </w:p>
    <w:p w:rsidR="003239C0" w:rsidRDefault="00116ED5">
      <w:pPr>
        <w:pStyle w:val="Nadpis1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Zábřeh</w:t>
      </w:r>
      <w:r>
        <w:rPr>
          <w:rFonts w:ascii="Calibri" w:hAnsi="Calibri" w:cs="Calibri"/>
          <w:sz w:val="28"/>
          <w:szCs w:val="28"/>
        </w:rPr>
        <w:br/>
        <w:t>o místním poplatku za užívání veřejného prostranství</w:t>
      </w:r>
    </w:p>
    <w:p w:rsidR="003239C0" w:rsidRDefault="003239C0">
      <w:pPr>
        <w:pStyle w:val="Textbody"/>
        <w:spacing w:after="288"/>
      </w:pPr>
    </w:p>
    <w:p w:rsidR="003239C0" w:rsidRDefault="00116ED5">
      <w:pPr>
        <w:pStyle w:val="UvodniVeta"/>
        <w:spacing w:before="0" w:after="60"/>
      </w:pPr>
      <w:r>
        <w:rPr>
          <w:rFonts w:ascii="Calibri" w:hAnsi="Calibri" w:cs="Calibri"/>
          <w:sz w:val="24"/>
          <w:szCs w:val="24"/>
        </w:rPr>
        <w:t>Zastupitelstvo města Zábřeh se na svém 10. zasedání dne 24. dubna 2024 usnesením č. 24/ZM/10/OVV/</w:t>
      </w:r>
      <w:r w:rsidR="00381D3D">
        <w:rPr>
          <w:rFonts w:ascii="Calibri" w:hAnsi="Calibri" w:cs="Calibri"/>
          <w:sz w:val="24"/>
          <w:szCs w:val="24"/>
        </w:rPr>
        <w:t>962</w:t>
      </w:r>
      <w:r>
        <w:rPr>
          <w:rFonts w:ascii="Calibri" w:hAnsi="Calibri" w:cs="Calibri"/>
          <w:sz w:val="24"/>
          <w:szCs w:val="24"/>
        </w:rPr>
        <w:t xml:space="preserve"> usneslo vydat na základě § 14 zákona č. 565/1990 Sb., o místních poplatcích, ve znění pozdějších předpisů (dále jen zákon o místních poplatcích) a v souladu s § 10 písm. d) a § 84 odst. 2 písm. h) zákona č. 128/2000 Sb., o obcích (obecní zřízení), ve znění pozdějších předpisů tuto obecně závaznou vyhlášku (dále jen vyhláška):</w:t>
      </w:r>
    </w:p>
    <w:p w:rsidR="003239C0" w:rsidRDefault="003239C0">
      <w:pPr>
        <w:pStyle w:val="UvodniVeta"/>
        <w:spacing w:before="0" w:after="60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:rsidR="003239C0" w:rsidRDefault="00116ED5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Zábřeh touto vyhláškou zavádí místní poplatek za užívání veřejného prostranství (dále jen poplatek).</w:t>
      </w:r>
    </w:p>
    <w:p w:rsidR="003239C0" w:rsidRDefault="00116ED5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Správcem poplatku je Městský úřad Zábřeh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:rsidR="003239C0" w:rsidRDefault="003239C0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Předmět poplatku a poplatník</w:t>
      </w:r>
    </w:p>
    <w:p w:rsidR="003239C0" w:rsidRDefault="00116ED5">
      <w:pPr>
        <w:pStyle w:val="Odstavec"/>
        <w:numPr>
          <w:ilvl w:val="0"/>
          <w:numId w:val="2"/>
        </w:numPr>
        <w:spacing w:after="60"/>
      </w:pPr>
      <w:r>
        <w:rPr>
          <w:rFonts w:ascii="Calibri" w:hAnsi="Calibri" w:cs="Calibri"/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: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provádění výkopových prací,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dočasných staveb a zařízení sloužících pro poskytování prodeje a služeb,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stavebních nebo reklamních zařízení,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skládek,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zařízení cirkusů,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umístění zařízení lunaparků a jiných obdobných atrakcí,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vyhrazení trvalého parkovacího místa,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užívání veřejného prostranství pro reklamní akce,</w:t>
      </w:r>
    </w:p>
    <w:p w:rsidR="003239C0" w:rsidRDefault="00116ED5" w:rsidP="00F66147">
      <w:pPr>
        <w:pStyle w:val="Odstavec"/>
        <w:numPr>
          <w:ilvl w:val="1"/>
          <w:numId w:val="1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užívání veřejného prostranství pro potřeby tvorby filmových a televizních děl.</w:t>
      </w:r>
    </w:p>
    <w:p w:rsidR="003239C0" w:rsidRDefault="00116ED5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Poplatek za užívání veřejného prostranství platí fyzické i právnické osoby, které užívají veřejné prostranství způsobem uvedeným v odstavci 1 (dále jen poplatník)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  <w:r>
        <w:rPr>
          <w:rFonts w:ascii="Calibri" w:hAnsi="Calibri" w:cs="Calibri"/>
          <w:sz w:val="24"/>
          <w:szCs w:val="24"/>
        </w:rPr>
        <w:t>.</w:t>
      </w:r>
    </w:p>
    <w:p w:rsidR="003239C0" w:rsidRDefault="003239C0">
      <w:pPr>
        <w:pStyle w:val="Nadpis2"/>
        <w:spacing w:before="0" w:after="60"/>
        <w:rPr>
          <w:rFonts w:ascii="Calibri" w:hAnsi="Calibri" w:cs="Calibri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Veřejná prostranství</w:t>
      </w:r>
    </w:p>
    <w:p w:rsidR="003239C0" w:rsidRDefault="00116ED5">
      <w:pPr>
        <w:pStyle w:val="Odstavec"/>
        <w:spacing w:after="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Poplatek se platí za užívání veřejných prostranství, která jsou uvedena jmenovitě v příloze č. 1 a graficky vyznačena na mapě v příloze č. 2 a č. 3. Tyto přílohy tvoří nedílnou součást této vyhlášky.</w:t>
      </w:r>
    </w:p>
    <w:p w:rsidR="003239C0" w:rsidRDefault="003239C0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Ohlašovací povinnost</w:t>
      </w:r>
    </w:p>
    <w:p w:rsidR="003239C0" w:rsidRDefault="00116ED5">
      <w:pPr>
        <w:pStyle w:val="Odstavec"/>
        <w:numPr>
          <w:ilvl w:val="0"/>
          <w:numId w:val="3"/>
        </w:numPr>
        <w:spacing w:after="60"/>
      </w:pPr>
      <w:r>
        <w:rPr>
          <w:rFonts w:ascii="Calibri" w:hAnsi="Calibri" w:cs="Calibri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  <w:r>
        <w:rPr>
          <w:rFonts w:ascii="Calibri" w:hAnsi="Calibri" w:cs="Calibri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:rsidR="003239C0" w:rsidRDefault="00116ED5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Dojde-li ke změně údajů uvedených v ohlášení, je poplatník povinen tuto změnu oznámit do 15 dnů ode dne, kdy nastala.</w:t>
      </w:r>
    </w:p>
    <w:p w:rsidR="003239C0" w:rsidRDefault="003239C0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Sazba poplatku</w:t>
      </w:r>
    </w:p>
    <w:p w:rsidR="003239C0" w:rsidRDefault="00116ED5">
      <w:pPr>
        <w:pStyle w:val="Odstavec"/>
        <w:numPr>
          <w:ilvl w:val="1"/>
          <w:numId w:val="1"/>
        </w:numPr>
        <w:spacing w:after="60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Sazba poplatku činí za každý i započatý m² a každý i započatý den:</w:t>
      </w:r>
    </w:p>
    <w:tbl>
      <w:tblPr>
        <w:tblW w:w="12109" w:type="dxa"/>
        <w:tblInd w:w="4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2883"/>
        <w:gridCol w:w="2951"/>
        <w:gridCol w:w="2534"/>
      </w:tblGrid>
      <w:tr w:rsidR="003239C0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9C0" w:rsidRDefault="00116ED5">
            <w:r>
              <w:rPr>
                <w:rFonts w:ascii="Calibri" w:hAnsi="Calibri" w:cs="Tahoma"/>
                <w:b/>
                <w:bCs/>
              </w:rPr>
              <w:t>Zvláštní užívání veřejného prostranství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9C0" w:rsidRDefault="00116ED5">
            <w:pPr>
              <w:jc w:val="both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Sazba za užívání veřejného prostranství typu veřejné</w:t>
            </w:r>
          </w:p>
          <w:p w:rsidR="003239C0" w:rsidRDefault="00116ED5">
            <w:pPr>
              <w:jc w:val="both"/>
            </w:pPr>
            <w:r>
              <w:rPr>
                <w:rFonts w:ascii="Calibri" w:hAnsi="Calibri" w:cs="Tahoma"/>
                <w:b/>
                <w:bCs/>
              </w:rPr>
              <w:t>komunikace nebo chodníku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jc w:val="both"/>
            </w:pPr>
            <w:r>
              <w:rPr>
                <w:rFonts w:ascii="Calibri" w:hAnsi="Calibri" w:cs="Tahoma"/>
                <w:b/>
                <w:bCs/>
              </w:rPr>
              <w:t>Sazba za užívání veřejného prostranství typu ostatní</w:t>
            </w:r>
            <w:r>
              <w:rPr>
                <w:rFonts w:ascii="Calibri" w:hAnsi="Calibri" w:cs="Tahoma"/>
              </w:rPr>
              <w:t xml:space="preserve"> (tj. jiného veřejného prostranství než typu veřejné komunikace či chodníku)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 w:rsidP="00DC2EA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umístění zařízení sloužícího pro poskytování prodeje 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70,00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70,00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 w:rsidP="00DC2EA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zařízení sloužícího pro poskytování služeb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3239C0">
            <w:pPr>
              <w:ind w:right="573"/>
              <w:rPr>
                <w:rFonts w:ascii="Calibri" w:hAnsi="Calibri" w:cs="Tahoma"/>
                <w:b/>
                <w:bCs/>
              </w:rPr>
            </w:pPr>
          </w:p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  <w:p w:rsidR="003239C0" w:rsidRDefault="003239C0">
            <w:pPr>
              <w:ind w:right="573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3239C0">
            <w:pPr>
              <w:ind w:right="776"/>
              <w:rPr>
                <w:rFonts w:ascii="Calibri" w:hAnsi="Calibri" w:cs="Tahoma"/>
                <w:b/>
                <w:bCs/>
              </w:rPr>
            </w:pPr>
          </w:p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  <w:p w:rsidR="003239C0" w:rsidRDefault="003239C0">
            <w:pPr>
              <w:ind w:right="776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provádění výkopových prací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283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umístění stavebního zařízení staveniště včetně lešení 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skládek (po dobu delší než</w:t>
            </w:r>
          </w:p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 hodin)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reklamního zařízení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20,00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20,00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cirkusů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  <w:p w:rsidR="003239C0" w:rsidRDefault="003239C0">
            <w:pPr>
              <w:ind w:right="776"/>
            </w:pPr>
          </w:p>
          <w:p w:rsidR="003239C0" w:rsidRDefault="003239C0">
            <w:pPr>
              <w:ind w:right="776"/>
            </w:pP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umístění lunaparků a jiných obdobných atrakcí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15,00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  <w:tr w:rsidR="003239C0">
        <w:trPr>
          <w:trHeight w:val="376"/>
        </w:trPr>
        <w:tc>
          <w:tcPr>
            <w:tcW w:w="37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užívání veřejného prostranství pro účely tvorby filmových a televizních děl a pro reklamní akce</w:t>
            </w:r>
          </w:p>
        </w:tc>
        <w:tc>
          <w:tcPr>
            <w:tcW w:w="288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573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9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9C0" w:rsidRDefault="00116ED5">
            <w:pPr>
              <w:ind w:right="776"/>
            </w:pPr>
            <w:r>
              <w:rPr>
                <w:rFonts w:ascii="Calibri" w:hAnsi="Calibri" w:cs="Tahoma"/>
                <w:b/>
                <w:bCs/>
              </w:rPr>
              <w:t>10,00 Kč/m</w:t>
            </w:r>
            <w:r>
              <w:rPr>
                <w:rFonts w:ascii="Calibri" w:hAnsi="Calibri" w:cs="Tahoma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bCs/>
              </w:rPr>
              <w:t>/den</w:t>
            </w:r>
          </w:p>
        </w:tc>
        <w:tc>
          <w:tcPr>
            <w:tcW w:w="25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9C0" w:rsidRDefault="003239C0">
            <w:pPr>
              <w:ind w:right="918"/>
              <w:jc w:val="right"/>
              <w:rPr>
                <w:rFonts w:ascii="Calibri" w:hAnsi="Calibri" w:cs="Tahoma"/>
                <w:b/>
                <w:bCs/>
              </w:rPr>
            </w:pPr>
          </w:p>
        </w:tc>
      </w:tr>
    </w:tbl>
    <w:p w:rsidR="003239C0" w:rsidRDefault="003239C0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:rsidR="003239C0" w:rsidRDefault="00116ED5" w:rsidP="00DE78C0">
      <w:pPr>
        <w:pStyle w:val="Odstavecseseznamem"/>
        <w:numPr>
          <w:ilvl w:val="0"/>
          <w:numId w:val="12"/>
        </w:numPr>
        <w:shd w:val="clear" w:color="auto" w:fill="FFFFFF"/>
        <w:spacing w:before="120"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Město stanovuje poplatek paušální částkou takto:</w:t>
      </w:r>
    </w:p>
    <w:p w:rsidR="003239C0" w:rsidRDefault="003239C0">
      <w:pPr>
        <w:pStyle w:val="Odstavecseseznamem"/>
        <w:shd w:val="clear" w:color="auto" w:fill="FFFFFF"/>
        <w:spacing w:before="120" w:after="0"/>
        <w:ind w:left="964" w:hanging="397"/>
        <w:rPr>
          <w:rFonts w:cs="Tahoma"/>
          <w:sz w:val="24"/>
          <w:szCs w:val="24"/>
        </w:rPr>
      </w:pPr>
    </w:p>
    <w:p w:rsidR="003239C0" w:rsidRDefault="00116ED5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964" w:hanging="39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vyhrazení trvalého parkovacího místa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1 000,00 Kč/za jeden měsíc</w:t>
      </w:r>
    </w:p>
    <w:p w:rsidR="003239C0" w:rsidRDefault="003239C0">
      <w:pPr>
        <w:pStyle w:val="Odstavecseseznamem"/>
        <w:shd w:val="clear" w:color="auto" w:fill="FFFFFF"/>
        <w:spacing w:after="0"/>
        <w:ind w:left="964" w:hanging="397"/>
        <w:rPr>
          <w:rFonts w:cs="Tahoma"/>
          <w:sz w:val="24"/>
          <w:szCs w:val="24"/>
        </w:rPr>
      </w:pPr>
    </w:p>
    <w:p w:rsidR="003239C0" w:rsidRDefault="00116ED5">
      <w:pPr>
        <w:pStyle w:val="Odstavecseseznamem"/>
        <w:numPr>
          <w:ilvl w:val="0"/>
          <w:numId w:val="4"/>
        </w:numPr>
        <w:shd w:val="clear" w:color="auto" w:fill="FFFFFF"/>
        <w:spacing w:after="0"/>
        <w:ind w:left="964" w:hanging="397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vyhrazení trvalého parkovacího místa pro veřejné dopravce v lokalitě u nádraží</w:t>
      </w:r>
    </w:p>
    <w:p w:rsidR="003239C0" w:rsidRDefault="00116ED5">
      <w:p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2 000,00 Kč/za jeden rok</w:t>
      </w:r>
    </w:p>
    <w:p w:rsidR="003239C0" w:rsidRDefault="003239C0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zvylnk"/>
        <w:spacing w:before="0" w:after="60" w:line="276" w:lineRule="auto"/>
        <w:ind w:left="567" w:hanging="567"/>
      </w:pPr>
      <w:r>
        <w:rPr>
          <w:rFonts w:ascii="Calibri" w:hAnsi="Calibri" w:cs="Calibri"/>
          <w:szCs w:val="24"/>
        </w:rPr>
        <w:t>Čl. 6</w:t>
      </w:r>
      <w:r>
        <w:rPr>
          <w:rFonts w:ascii="Calibri" w:hAnsi="Calibri" w:cs="Calibri"/>
          <w:szCs w:val="24"/>
        </w:rPr>
        <w:br/>
        <w:t>Splatnost poplatku</w:t>
      </w:r>
      <w:r>
        <w:rPr>
          <w:rFonts w:ascii="Calibri" w:hAnsi="Calibri" w:cs="Arial"/>
        </w:rPr>
        <w:t xml:space="preserve"> </w:t>
      </w:r>
    </w:p>
    <w:p w:rsidR="003239C0" w:rsidRDefault="00116ED5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Poplatek stanovený denní sazbou mimo poplatku za provádění výkopových prací a umístění lešení je splatný nejpozději v den, kdy bylo se zvláštním užíváním veřejného prostranství započato.</w:t>
      </w:r>
    </w:p>
    <w:p w:rsidR="003239C0" w:rsidRDefault="00116ED5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Poplatek stanovený denní sazbou za provádění výkopových prací a umístění lešení je splatný nejpozději do 10 dnů od ukončení užívání veřejného prostranství.</w:t>
      </w:r>
    </w:p>
    <w:p w:rsidR="003239C0" w:rsidRDefault="00116ED5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Poplatek stanovený měsíční paušální částkou je splatný nejpozději do 10 dnů od osazení dopravního značení. Poplatek se hradí jednorázově za celou dobu vyhrazení trvalého parkovacího místa.</w:t>
      </w:r>
    </w:p>
    <w:p w:rsidR="003239C0" w:rsidRDefault="00116ED5">
      <w:pPr>
        <w:numPr>
          <w:ilvl w:val="0"/>
          <w:numId w:val="5"/>
        </w:numPr>
        <w:spacing w:after="60" w:line="276" w:lineRule="auto"/>
        <w:jc w:val="both"/>
        <w:textAlignment w:val="auto"/>
      </w:pPr>
      <w:r>
        <w:rPr>
          <w:rFonts w:ascii="Calibri" w:hAnsi="Calibri" w:cs="Arial"/>
        </w:rPr>
        <w:t>Poplatek stanovený roční paušální částkou za vyhrazení trvalého parkovacího místa pro veřejné dopravce je splatný do 30 dnů od počátku každého ročního poplatkového období.</w:t>
      </w:r>
    </w:p>
    <w:p w:rsidR="003239C0" w:rsidRDefault="00116ED5">
      <w:pPr>
        <w:numPr>
          <w:ilvl w:val="0"/>
          <w:numId w:val="5"/>
        </w:numPr>
        <w:spacing w:after="60" w:line="276" w:lineRule="auto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:rsidR="003239C0" w:rsidRDefault="003239C0">
      <w:pPr>
        <w:spacing w:after="60" w:line="276" w:lineRule="auto"/>
        <w:ind w:left="567"/>
        <w:jc w:val="both"/>
        <w:textAlignment w:val="auto"/>
        <w:rPr>
          <w:rFonts w:ascii="Calibri" w:hAnsi="Calibri" w:cs="Arial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Osvobození</w:t>
      </w:r>
    </w:p>
    <w:p w:rsidR="003239C0" w:rsidRDefault="00116ED5">
      <w:pPr>
        <w:pStyle w:val="Odstavec"/>
        <w:numPr>
          <w:ilvl w:val="0"/>
          <w:numId w:val="6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se neplatí:</w:t>
      </w:r>
    </w:p>
    <w:p w:rsidR="003239C0" w:rsidRDefault="00116ED5">
      <w:pPr>
        <w:pStyle w:val="Odstavec"/>
        <w:numPr>
          <w:ilvl w:val="1"/>
          <w:numId w:val="7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 vyhrazení trvalého parkovacího místa pro osobu, která je držitelem průkazu ZTP nebo ZTP/P,</w:t>
      </w:r>
    </w:p>
    <w:p w:rsidR="003239C0" w:rsidRDefault="00116ED5">
      <w:pPr>
        <w:pStyle w:val="Odstavec"/>
        <w:numPr>
          <w:ilvl w:val="1"/>
          <w:numId w:val="7"/>
        </w:numPr>
        <w:spacing w:after="60"/>
      </w:pPr>
      <w:r>
        <w:rPr>
          <w:rFonts w:ascii="Calibri" w:hAnsi="Calibri" w:cs="Calibri"/>
          <w:sz w:val="24"/>
          <w:szCs w:val="24"/>
        </w:rPr>
        <w:t>z akcí pořádaných na veřejném prostranství, jejichž celý výtěžek je odveden na charitativní a veřejně prospěšné účely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,</w:t>
      </w:r>
    </w:p>
    <w:p w:rsidR="003239C0" w:rsidRDefault="003239C0">
      <w:pPr>
        <w:pStyle w:val="Odstavec"/>
        <w:spacing w:after="60"/>
        <w:ind w:left="964"/>
      </w:pPr>
    </w:p>
    <w:p w:rsidR="003239C0" w:rsidRDefault="003239C0">
      <w:pPr>
        <w:pStyle w:val="Odstavec"/>
        <w:spacing w:after="60"/>
        <w:ind w:left="964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Odstavec"/>
        <w:numPr>
          <w:ilvl w:val="1"/>
          <w:numId w:val="7"/>
        </w:numPr>
        <w:spacing w:after="60"/>
      </w:pPr>
      <w:r>
        <w:rPr>
          <w:rFonts w:ascii="Calibri" w:hAnsi="Calibri"/>
          <w:sz w:val="24"/>
          <w:szCs w:val="24"/>
        </w:rPr>
        <w:t xml:space="preserve">za užívání veřejného prostranství v rámci konání májového a podzimního jarmarku, </w:t>
      </w:r>
      <w:r>
        <w:rPr>
          <w:rFonts w:ascii="Calibri" w:hAnsi="Calibri" w:cs="Calibri"/>
          <w:sz w:val="24"/>
          <w:szCs w:val="24"/>
        </w:rPr>
        <w:t>farmářských a vánočních trhů a v rámci akce Setkání s Mikulášem,</w:t>
      </w:r>
    </w:p>
    <w:p w:rsidR="003239C0" w:rsidRDefault="00116ED5">
      <w:pPr>
        <w:pStyle w:val="Odstavec"/>
        <w:numPr>
          <w:ilvl w:val="1"/>
          <w:numId w:val="7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pokud nepřesáhne 100,00 Kč.</w:t>
      </w:r>
    </w:p>
    <w:p w:rsidR="003239C0" w:rsidRDefault="00116ED5">
      <w:pPr>
        <w:numPr>
          <w:ilvl w:val="0"/>
          <w:numId w:val="8"/>
        </w:numPr>
        <w:spacing w:after="60" w:line="276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Od poplatku se dále osvobozuje užívání veřejného prostranství: </w:t>
      </w:r>
    </w:p>
    <w:p w:rsidR="003239C0" w:rsidRDefault="00116ED5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městem Zábřeh a jím zřízených příspěvkových organizací,</w:t>
      </w:r>
    </w:p>
    <w:p w:rsidR="003239C0" w:rsidRDefault="00116ED5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</w:pPr>
      <w:r>
        <w:rPr>
          <w:rFonts w:ascii="Calibri" w:hAnsi="Calibri" w:cs="Calibri"/>
        </w:rPr>
        <w:t>obchodními společnostmi</w:t>
      </w:r>
      <w:r>
        <w:rPr>
          <w:rFonts w:ascii="Calibri" w:hAnsi="Calibri" w:cs="Arial"/>
        </w:rPr>
        <w:t>, v nichž má město Zábřeh 100% podíl,</w:t>
      </w:r>
    </w:p>
    <w:p w:rsidR="003239C0" w:rsidRDefault="00116ED5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fyzickými a právnickými osobami provádějícími stavební a montážní práce pro město Zábřeh a jeho příspěvkové organizace,</w:t>
      </w:r>
    </w:p>
    <w:p w:rsidR="003239C0" w:rsidRDefault="00116ED5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pro umístění skládek po dobu kratší než 24 hodin, mimo skládek zboží,</w:t>
      </w:r>
    </w:p>
    <w:p w:rsidR="003239C0" w:rsidRDefault="00116ED5">
      <w:pPr>
        <w:numPr>
          <w:ilvl w:val="1"/>
          <w:numId w:val="8"/>
        </w:numPr>
        <w:tabs>
          <w:tab w:val="left" w:pos="1021"/>
        </w:tabs>
        <w:spacing w:after="60" w:line="276" w:lineRule="auto"/>
        <w:ind w:left="964" w:hanging="397"/>
        <w:jc w:val="both"/>
        <w:textAlignment w:val="auto"/>
        <w:rPr>
          <w:rFonts w:ascii="Calibri" w:hAnsi="Calibri" w:cs="Arial"/>
        </w:rPr>
      </w:pPr>
      <w:r>
        <w:rPr>
          <w:rFonts w:ascii="Calibri" w:hAnsi="Calibri" w:cs="Arial"/>
        </w:rPr>
        <w:t>na základě nájemní smlouvy s městem Zábřeh.</w:t>
      </w:r>
    </w:p>
    <w:p w:rsidR="003239C0" w:rsidRDefault="00116ED5">
      <w:pPr>
        <w:pStyle w:val="Odstavec"/>
        <w:numPr>
          <w:ilvl w:val="0"/>
          <w:numId w:val="9"/>
        </w:numPr>
        <w:spacing w:after="60"/>
      </w:pPr>
      <w:r>
        <w:rPr>
          <w:rFonts w:ascii="Calibri" w:hAnsi="Calibri"/>
          <w:sz w:val="24"/>
          <w:szCs w:val="24"/>
        </w:rPr>
        <w:t>Údaj rozhodný pro osvobození dle odst. 2 tohoto článku je poplatník povinen ohlásit ve stejné lhůtě, jako je povinen splnit svoji ohlašovací povinnost dle čl. 4 odst. 1 této vyhlášky.</w:t>
      </w:r>
    </w:p>
    <w:p w:rsidR="003239C0" w:rsidRDefault="00116ED5">
      <w:pPr>
        <w:pStyle w:val="Odstavec"/>
        <w:numPr>
          <w:ilvl w:val="0"/>
          <w:numId w:val="9"/>
        </w:numPr>
        <w:spacing w:after="60"/>
      </w:pPr>
      <w:r>
        <w:rPr>
          <w:rFonts w:ascii="Calibri" w:hAnsi="Calibri" w:cs="Calibri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:rsidR="003239C0" w:rsidRDefault="003239C0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Přechodné a zrušovací ustanovení</w:t>
      </w:r>
    </w:p>
    <w:p w:rsidR="003239C0" w:rsidRDefault="00116ED5">
      <w:pPr>
        <w:pStyle w:val="Odstavec"/>
        <w:numPr>
          <w:ilvl w:val="0"/>
          <w:numId w:val="10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 nabytím účinnosti této vyhlášky se posuzují podle dosavadních právních předpisů.</w:t>
      </w:r>
    </w:p>
    <w:p w:rsidR="003239C0" w:rsidRPr="00B61B6D" w:rsidRDefault="00116ED5" w:rsidP="00B61B6D">
      <w:pPr>
        <w:pStyle w:val="Odstavec"/>
        <w:numPr>
          <w:ilvl w:val="0"/>
          <w:numId w:val="10"/>
        </w:numPr>
        <w:spacing w:after="60"/>
        <w:rPr>
          <w:rFonts w:ascii="Calibri" w:hAnsi="Calibri" w:cs="Calibri"/>
          <w:sz w:val="24"/>
          <w:szCs w:val="24"/>
        </w:rPr>
      </w:pPr>
      <w:r w:rsidRPr="00B61B6D">
        <w:rPr>
          <w:rFonts w:ascii="Calibri" w:hAnsi="Calibri" w:cs="Calibri"/>
          <w:sz w:val="24"/>
          <w:szCs w:val="24"/>
        </w:rPr>
        <w:t>Zrušuje se obecně závazná vyhláška č. 9/2023, o místním poplatku za užívání veřejného prostranství, ze dne 13. prosince 2023.</w:t>
      </w:r>
    </w:p>
    <w:p w:rsidR="003239C0" w:rsidRDefault="003239C0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3239C0" w:rsidRDefault="00116ED5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9</w:t>
      </w:r>
      <w:r>
        <w:rPr>
          <w:rFonts w:ascii="Calibri" w:hAnsi="Calibri" w:cs="Calibri"/>
        </w:rPr>
        <w:br/>
        <w:t>Účinnost</w:t>
      </w:r>
    </w:p>
    <w:p w:rsidR="003239C0" w:rsidRDefault="00116ED5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počátkem patnáctého dne následujícího po dni jejího vyhlášení.</w:t>
      </w:r>
    </w:p>
    <w:p w:rsidR="003239C0" w:rsidRDefault="003239C0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39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39C0" w:rsidRDefault="00116ED5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39C0" w:rsidRDefault="00116ED5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  <w:tr w:rsidR="003239C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39C0" w:rsidRDefault="003239C0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239C0" w:rsidRDefault="003239C0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239C0" w:rsidRDefault="003239C0">
      <w:pPr>
        <w:spacing w:after="60" w:line="276" w:lineRule="auto"/>
        <w:rPr>
          <w:rFonts w:ascii="Calibri" w:hAnsi="Calibri" w:cs="Calibri"/>
        </w:rPr>
      </w:pPr>
    </w:p>
    <w:sectPr w:rsidR="003239C0">
      <w:headerReference w:type="default" r:id="rId7"/>
      <w:pgSz w:w="11909" w:h="16834"/>
      <w:pgMar w:top="1134" w:right="1134" w:bottom="1134" w:left="1134" w:header="102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E5" w:rsidRDefault="00116ED5">
      <w:r>
        <w:separator/>
      </w:r>
    </w:p>
  </w:endnote>
  <w:endnote w:type="continuationSeparator" w:id="0">
    <w:p w:rsidR="000965E5" w:rsidRDefault="0011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E5" w:rsidRDefault="00116ED5">
      <w:r>
        <w:rPr>
          <w:color w:val="000000"/>
        </w:rPr>
        <w:separator/>
      </w:r>
    </w:p>
  </w:footnote>
  <w:footnote w:type="continuationSeparator" w:id="0">
    <w:p w:rsidR="000965E5" w:rsidRDefault="00116ED5">
      <w:r>
        <w:continuationSeparator/>
      </w:r>
    </w:p>
  </w:footnote>
  <w:footnote w:id="1">
    <w:p w:rsidR="003239C0" w:rsidRDefault="00116ED5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3239C0" w:rsidRDefault="00116ED5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1 zákona o místních poplatcích</w:t>
      </w:r>
    </w:p>
  </w:footnote>
  <w:footnote w:id="3">
    <w:p w:rsidR="003239C0" w:rsidRDefault="00116ED5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2 zákona o místních poplatcích</w:t>
      </w:r>
    </w:p>
  </w:footnote>
  <w:footnote w:id="4">
    <w:p w:rsidR="003239C0" w:rsidRDefault="00116ED5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:rsidR="003239C0" w:rsidRDefault="00116ED5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1 zákona o místních poplatcích</w:t>
      </w:r>
    </w:p>
  </w:footnote>
  <w:footnote w:id="6">
    <w:p w:rsidR="003239C0" w:rsidRDefault="00116ED5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FA" w:rsidRDefault="00116ED5">
    <w:pPr>
      <w:pStyle w:val="Zhlav"/>
      <w:jc w:val="center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2679758</wp:posOffset>
          </wp:positionH>
          <wp:positionV relativeFrom="paragraph">
            <wp:posOffset>-430280</wp:posOffset>
          </wp:positionV>
          <wp:extent cx="666753" cy="775292"/>
          <wp:effectExtent l="0" t="0" r="0" b="5758"/>
          <wp:wrapTight wrapText="bothSides">
            <wp:wrapPolygon edited="0">
              <wp:start x="0" y="0"/>
              <wp:lineTo x="0" y="17514"/>
              <wp:lineTo x="4937" y="21230"/>
              <wp:lineTo x="5554" y="21230"/>
              <wp:lineTo x="15429" y="21230"/>
              <wp:lineTo x="16046" y="21230"/>
              <wp:lineTo x="20983" y="17514"/>
              <wp:lineTo x="20983" y="0"/>
              <wp:lineTo x="0" y="0"/>
            </wp:wrapPolygon>
          </wp:wrapTight>
          <wp:docPr id="1" name="Obrázek 0" descr="Znak_Zabre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7752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D1DFA" w:rsidRDefault="00381D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5584"/>
    <w:multiLevelType w:val="multilevel"/>
    <w:tmpl w:val="E7EA79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8970139"/>
    <w:multiLevelType w:val="multilevel"/>
    <w:tmpl w:val="9300D998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C355C0D"/>
    <w:multiLevelType w:val="multilevel"/>
    <w:tmpl w:val="429CCA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D870D19"/>
    <w:multiLevelType w:val="multilevel"/>
    <w:tmpl w:val="5016AE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643"/>
    <w:multiLevelType w:val="multilevel"/>
    <w:tmpl w:val="620CEEB8"/>
    <w:lvl w:ilvl="0">
      <w:start w:val="3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5E44BF3"/>
    <w:multiLevelType w:val="multilevel"/>
    <w:tmpl w:val="EA3494B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2D02EE4"/>
    <w:multiLevelType w:val="multilevel"/>
    <w:tmpl w:val="31F865D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17E3789"/>
    <w:multiLevelType w:val="multilevel"/>
    <w:tmpl w:val="709EE5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2"/>
    <w:lvlOverride w:ilvl="0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C0"/>
    <w:rsid w:val="000965E5"/>
    <w:rsid w:val="00116ED5"/>
    <w:rsid w:val="003239C0"/>
    <w:rsid w:val="00381D3D"/>
    <w:rsid w:val="00B61B6D"/>
    <w:rsid w:val="00DC2EA5"/>
    <w:rsid w:val="00DE78C0"/>
    <w:rsid w:val="00F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400F"/>
  <w15:docId w15:val="{DE01E800-A816-4C7F-83E2-7305B5A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spacing w:after="160"/>
      <w:ind w:left="720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Sekaninová Jitka</dc:creator>
  <cp:lastModifiedBy>Sekaninová Jitka</cp:lastModifiedBy>
  <cp:revision>7</cp:revision>
  <dcterms:created xsi:type="dcterms:W3CDTF">2024-04-03T13:59:00Z</dcterms:created>
  <dcterms:modified xsi:type="dcterms:W3CDTF">2024-04-26T10:33:00Z</dcterms:modified>
</cp:coreProperties>
</file>