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100FC" w14:textId="4D0C3629" w:rsidR="00477ED5" w:rsidRPr="00B65B31" w:rsidRDefault="00477ED5" w:rsidP="00477ED5">
      <w:pPr>
        <w:rPr>
          <w:rFonts w:asciiTheme="majorHAnsi" w:hAnsiTheme="majorHAnsi" w:cstheme="majorHAnsi"/>
          <w:b/>
          <w:bCs/>
          <w:sz w:val="22"/>
        </w:rPr>
      </w:pPr>
      <w:r w:rsidRPr="00B65B31">
        <w:rPr>
          <w:rFonts w:asciiTheme="majorHAnsi" w:hAnsiTheme="majorHAnsi" w:cstheme="majorHAnsi"/>
          <w:b/>
          <w:sz w:val="22"/>
        </w:rPr>
        <w:t xml:space="preserve">POČTY </w:t>
      </w:r>
      <w:r>
        <w:rPr>
          <w:rFonts w:asciiTheme="majorHAnsi" w:hAnsiTheme="majorHAnsi" w:cstheme="majorHAnsi"/>
          <w:b/>
          <w:sz w:val="22"/>
        </w:rPr>
        <w:t xml:space="preserve">PARKOVACÍCH </w:t>
      </w:r>
      <w:r w:rsidRPr="00B65B31">
        <w:rPr>
          <w:rFonts w:asciiTheme="majorHAnsi" w:hAnsiTheme="majorHAnsi" w:cstheme="majorHAnsi"/>
          <w:b/>
          <w:sz w:val="22"/>
        </w:rPr>
        <w:t>MÍST PRO JÍZDNÍ KOL</w:t>
      </w:r>
      <w:r>
        <w:rPr>
          <w:rFonts w:asciiTheme="majorHAnsi" w:hAnsiTheme="majorHAnsi" w:cstheme="majorHAnsi"/>
          <w:b/>
          <w:sz w:val="22"/>
        </w:rPr>
        <w:t>A</w:t>
      </w:r>
      <w:r w:rsidRPr="00B65B31">
        <w:rPr>
          <w:rFonts w:asciiTheme="majorHAnsi" w:hAnsiTheme="majorHAnsi" w:cstheme="majorHAnsi"/>
          <w:b/>
          <w:bCs/>
          <w:sz w:val="22"/>
        </w:rPr>
        <w:t xml:space="preserve"> PODLE </w:t>
      </w:r>
      <w:r>
        <w:rPr>
          <w:rFonts w:asciiTheme="majorHAnsi" w:hAnsiTheme="majorHAnsi" w:cstheme="majorHAnsi"/>
          <w:b/>
          <w:bCs/>
          <w:sz w:val="22"/>
        </w:rPr>
        <w:t>§</w:t>
      </w:r>
      <w:r w:rsidRPr="00B65B31">
        <w:rPr>
          <w:rFonts w:asciiTheme="majorHAnsi" w:hAnsiTheme="majorHAnsi" w:cstheme="majorHAnsi"/>
          <w:b/>
          <w:bCs/>
          <w:sz w:val="22"/>
        </w:rPr>
        <w:t xml:space="preserve"> 27</w:t>
      </w:r>
    </w:p>
    <w:p w14:paraId="53FFB2AA" w14:textId="77777777" w:rsidR="00477ED5" w:rsidRPr="008B0503" w:rsidRDefault="00477ED5" w:rsidP="00477ED5">
      <w:pPr>
        <w:rPr>
          <w:rFonts w:asciiTheme="majorHAnsi" w:hAnsiTheme="majorHAnsi" w:cstheme="majorHAnsi"/>
          <w:szCs w:val="20"/>
        </w:rPr>
      </w:pPr>
    </w:p>
    <w:p w14:paraId="13760BE9" w14:textId="77777777" w:rsidR="00477ED5" w:rsidRPr="008B0503" w:rsidRDefault="00477ED5" w:rsidP="00477ED5">
      <w:pPr>
        <w:ind w:left="236" w:right="283" w:hanging="10"/>
        <w:rPr>
          <w:rFonts w:asciiTheme="majorHAnsi" w:hAnsiTheme="majorHAnsi" w:cstheme="majorHAnsi"/>
          <w:b/>
          <w:bCs/>
          <w:iCs/>
          <w:szCs w:val="20"/>
        </w:rPr>
      </w:pPr>
      <w:r w:rsidRPr="008B0503">
        <w:rPr>
          <w:rFonts w:asciiTheme="majorHAnsi" w:hAnsiTheme="majorHAnsi" w:cstheme="majorHAnsi"/>
          <w:b/>
          <w:bCs/>
          <w:iCs/>
          <w:szCs w:val="20"/>
        </w:rPr>
        <w:t>Základní počty stání</w:t>
      </w:r>
    </w:p>
    <w:p w14:paraId="32B3AF8E" w14:textId="70D240C8" w:rsidR="00477ED5" w:rsidRPr="008B0503" w:rsidRDefault="00477ED5" w:rsidP="00477ED5">
      <w:pPr>
        <w:ind w:left="236" w:right="283" w:hanging="10"/>
        <w:rPr>
          <w:rFonts w:asciiTheme="majorHAnsi" w:hAnsiTheme="majorHAnsi" w:cstheme="majorHAnsi"/>
          <w:bCs/>
          <w:i/>
          <w:szCs w:val="20"/>
        </w:rPr>
      </w:pPr>
      <w:r w:rsidRPr="008B0503">
        <w:rPr>
          <w:rFonts w:asciiTheme="majorHAnsi" w:hAnsiTheme="majorHAnsi" w:cstheme="majorHAnsi"/>
          <w:bCs/>
          <w:i/>
          <w:szCs w:val="20"/>
        </w:rPr>
        <w:t xml:space="preserve">(k </w:t>
      </w:r>
      <w:r>
        <w:rPr>
          <w:rFonts w:asciiTheme="majorHAnsi" w:hAnsiTheme="majorHAnsi" w:cstheme="majorHAnsi"/>
          <w:bCs/>
          <w:i/>
          <w:szCs w:val="20"/>
        </w:rPr>
        <w:t>§</w:t>
      </w:r>
      <w:r w:rsidRPr="008B0503">
        <w:rPr>
          <w:rFonts w:asciiTheme="majorHAnsi" w:hAnsiTheme="majorHAnsi" w:cstheme="majorHAnsi"/>
          <w:bCs/>
          <w:i/>
          <w:szCs w:val="20"/>
        </w:rPr>
        <w:t xml:space="preserve"> 2</w:t>
      </w:r>
      <w:r>
        <w:rPr>
          <w:rFonts w:asciiTheme="majorHAnsi" w:hAnsiTheme="majorHAnsi" w:cstheme="majorHAnsi"/>
          <w:bCs/>
          <w:i/>
          <w:szCs w:val="20"/>
        </w:rPr>
        <w:t>7</w:t>
      </w:r>
      <w:r w:rsidRPr="008B0503">
        <w:rPr>
          <w:rFonts w:asciiTheme="majorHAnsi" w:hAnsiTheme="majorHAnsi" w:cstheme="majorHAnsi"/>
          <w:bCs/>
          <w:i/>
          <w:szCs w:val="20"/>
        </w:rPr>
        <w:t xml:space="preserve"> odst. </w:t>
      </w:r>
      <w:r>
        <w:rPr>
          <w:rFonts w:asciiTheme="majorHAnsi" w:hAnsiTheme="majorHAnsi" w:cstheme="majorHAnsi"/>
          <w:bCs/>
          <w:i/>
          <w:szCs w:val="20"/>
        </w:rPr>
        <w:t>1</w:t>
      </w:r>
      <w:r w:rsidRPr="008B0503">
        <w:rPr>
          <w:rFonts w:asciiTheme="majorHAnsi" w:hAnsiTheme="majorHAnsi" w:cstheme="majorHAnsi"/>
          <w:bCs/>
          <w:i/>
          <w:szCs w:val="20"/>
        </w:rPr>
        <w:t>)</w:t>
      </w:r>
    </w:p>
    <w:p w14:paraId="3262A01F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p w14:paraId="5B6341A8" w14:textId="6653554B" w:rsidR="00752B42" w:rsidRPr="00CD079B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Tabulka stanovuje základní počet parkovacích míst pro jízdní kola včetně podílu vázaných a návštěvnických míst pro výpočet podle § 27, a to pro nové stavby, jakož i pro změny dokončených staveb. Na změny dokončených staveb se povinnosti dle této přílohy vztahují pouze za splnění podmínek uvedených v odstavcích 3, 5 a 7 této přílohy. Pro jednotlivé účely užívání je stanoven ukazatel základního počtu míst, který je definován hrubou podlažní plochou účelu užívání (v m2) na 1 místo. Procentem je stanoven podíl vázaných a návštěvnických míst.</w:t>
      </w:r>
    </w:p>
    <w:p w14:paraId="09DAA30D" w14:textId="540A76AC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Hrubou podlažní plochou účelu užívání se rozumí součet hrubých podlažních ploch (§ 2 písm. c) všech částí budovy nebo souboru budov pro vybraný účel užívání; nezapočítávají se plochy garáží, sklepů, technických a pomocných prostor a objektů technické infrastruktury.</w:t>
      </w:r>
    </w:p>
    <w:p w14:paraId="23ADD51C" w14:textId="1A2664E2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U nové stavby se základní počet parkovacích míst pro jízdní kola podle tabulky této přílohy stanoví z</w:t>
      </w:r>
      <w:r w:rsidR="002F0AAA">
        <w:rPr>
          <w:rFonts w:asciiTheme="majorHAnsi" w:hAnsiTheme="majorHAnsi" w:cstheme="majorHAnsi"/>
          <w:szCs w:val="20"/>
        </w:rPr>
        <w:t> </w:t>
      </w:r>
      <w:r w:rsidRPr="00752B42">
        <w:rPr>
          <w:rFonts w:asciiTheme="majorHAnsi" w:hAnsiTheme="majorHAnsi" w:cstheme="majorHAnsi"/>
          <w:szCs w:val="20"/>
        </w:rPr>
        <w:t>celé její hrubé podlažní plochy. U změny dokončené stavby se základní počet parkovacích míst pro jízdní kola podle tabulky této přílohy stanoví pouze z rozsahu nově navržené (přidané) hrubé podlažní plochy účelu užívání, není-li dále v odstavcích 5 a 7 stanoveno jinak. Dochází-li ke změně v užívání stavby nebo její části, musí základní počet parkovacích míst pro jízdní kola odpovídat počtu míst vyplývajícímu z</w:t>
      </w:r>
      <w:r w:rsidR="002F0AAA">
        <w:rPr>
          <w:rFonts w:asciiTheme="majorHAnsi" w:hAnsiTheme="majorHAnsi" w:cstheme="majorHAnsi"/>
          <w:szCs w:val="20"/>
        </w:rPr>
        <w:t> </w:t>
      </w:r>
      <w:r w:rsidRPr="00752B42">
        <w:rPr>
          <w:rFonts w:asciiTheme="majorHAnsi" w:hAnsiTheme="majorHAnsi" w:cstheme="majorHAnsi"/>
          <w:szCs w:val="20"/>
        </w:rPr>
        <w:t>tabulky této přílohy pro nový účel užívání, počítanému z celé hrubé podlažní plochy dotčené části stavby, případně počtu bytových jednotek podle odstavce 7, jsou-li naplněny podmínky tohoto odstavce.</w:t>
      </w:r>
    </w:p>
    <w:p w14:paraId="5ED54D2A" w14:textId="777223BF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Pro vybrané účely užívání se specifickými nároky (uvedené v tabulce pod jednotlivými kategoriemi účelů užívání) se vždy užije příslušná hodnota. Není-li konkrétní účel užívání budovy v tabulce výslovně uveden, použije se ukazatel základního počtu parkovacích míst pro jízdní kola stanovený pro svou povahou nejbližší účel užívání.</w:t>
      </w:r>
    </w:p>
    <w:p w14:paraId="37FE34BA" w14:textId="053FBF45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Pokud se jedná o změnu dokončené jiné než obytné budovy, v níž se využívá energie k úpravě vnitřního prostředí, na více než 25 % celkové plochy obálky budovy, která má mít po realizaci záměru více než pět stání, a pokud</w:t>
      </w:r>
    </w:p>
    <w:p w14:paraId="2E398FB3" w14:textId="3713C2E5" w:rsidR="00752B42" w:rsidRPr="00CD079B" w:rsidRDefault="00752B42" w:rsidP="00CD079B">
      <w:pPr>
        <w:pStyle w:val="Odstavecseseznamem"/>
        <w:numPr>
          <w:ilvl w:val="0"/>
          <w:numId w:val="47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je parkoviště takové budovy umístěno uvnitř budovy a změna dokončené budovy se týká i parkoviště nebo elektrických rozvodů budovy, nebo</w:t>
      </w:r>
    </w:p>
    <w:p w14:paraId="714A8E7B" w14:textId="487612F7" w:rsidR="00752B42" w:rsidRPr="00752B42" w:rsidRDefault="00752B42" w:rsidP="00CD079B">
      <w:pPr>
        <w:pStyle w:val="Odstavecseseznamem"/>
        <w:numPr>
          <w:ilvl w:val="0"/>
          <w:numId w:val="47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 takové budovy je parkovištěm fyzicky sousedícím s budovou a změna dokončené budovy se týká i parkoviště či elektrických rozvodů parkoviště,</w:t>
      </w:r>
    </w:p>
    <w:p w14:paraId="5448F753" w14:textId="77777777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stanoví se základní počet parkovacích míst pro jízdní kola podle tabulky této přílohy z celé hrubé podlažní plochy této budovy po realizaci záměru, a to bez ohledu na rozsah nově navržené (přidané) hrubé podlažní plochy.</w:t>
      </w:r>
    </w:p>
    <w:p w14:paraId="0E4501B3" w14:textId="5EB59717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Pro specifické účely užívání podle bodu 12 se základní počet parkovacích míst pro jízdní kola stanoví individuálně podle předpokládaného počtu návštěvníků a pracovních míst. Pro specifické účely užívání jiných než obytných budov podle bodu 12 u</w:t>
      </w:r>
    </w:p>
    <w:p w14:paraId="085EDBA4" w14:textId="57DC2D2B" w:rsidR="00752B42" w:rsidRPr="00CD079B" w:rsidRDefault="00752B42" w:rsidP="00CD079B">
      <w:pPr>
        <w:pStyle w:val="Odstavecseseznamem"/>
        <w:numPr>
          <w:ilvl w:val="0"/>
          <w:numId w:val="49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změny dokončené stavby splňující podmínky podle odstavce 5, nebo</w:t>
      </w:r>
    </w:p>
    <w:p w14:paraId="3A1CCB1D" w14:textId="34BDC162" w:rsidR="00752B42" w:rsidRPr="00752B42" w:rsidRDefault="00752B42" w:rsidP="00CD079B">
      <w:pPr>
        <w:pStyle w:val="Odstavecseseznamem"/>
        <w:numPr>
          <w:ilvl w:val="0"/>
          <w:numId w:val="49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nové stavby, v níž se využívá energie k úpravě vnitřního prostředí, která má mít po realizaci záměru více než pět stání a splňuje podmínku podle písmene a) nebo b) odstavce 5,</w:t>
      </w:r>
    </w:p>
    <w:p w14:paraId="7DA8FBA3" w14:textId="286FA910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se přihlédne též k požadavku na počet parkovacích míst pro jízdní kola odpovídající alespoň 15 % průměrné nebo 10 % celkové uživatelské kapacity budovy, jakož i k tomu, zda nejde o budovu, do které jízdní kola obvykle nevjíždějí.</w:t>
      </w:r>
    </w:p>
    <w:p w14:paraId="56CA8FD4" w14:textId="1CD288A7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lastRenderedPageBreak/>
        <w:t xml:space="preserve">Pokud se jedná o novou stavbu </w:t>
      </w:r>
      <w:r w:rsidR="00DB1BEC">
        <w:rPr>
          <w:rFonts w:asciiTheme="majorHAnsi" w:hAnsiTheme="majorHAnsi" w:cstheme="majorHAnsi"/>
          <w:szCs w:val="20"/>
        </w:rPr>
        <w:t>bytového domu</w:t>
      </w:r>
      <w:r w:rsidRPr="00752B42">
        <w:rPr>
          <w:rFonts w:asciiTheme="majorHAnsi" w:hAnsiTheme="majorHAnsi" w:cstheme="majorHAnsi"/>
          <w:szCs w:val="20"/>
        </w:rPr>
        <w:t xml:space="preserve"> nebo změnu dokončené stavby </w:t>
      </w:r>
      <w:r w:rsidR="00DB1BEC">
        <w:rPr>
          <w:rFonts w:asciiTheme="majorHAnsi" w:hAnsiTheme="majorHAnsi" w:cstheme="majorHAnsi"/>
          <w:szCs w:val="20"/>
        </w:rPr>
        <w:t>bytového domu</w:t>
      </w:r>
      <w:r w:rsidRPr="00752B42">
        <w:rPr>
          <w:rFonts w:asciiTheme="majorHAnsi" w:hAnsiTheme="majorHAnsi" w:cstheme="majorHAnsi"/>
          <w:szCs w:val="20"/>
        </w:rPr>
        <w:t xml:space="preserve"> na více než 25 % celkové plochy obálky této stavby a taková stavba má mít po realizaci záměru více než 3 stání a pokud</w:t>
      </w:r>
    </w:p>
    <w:p w14:paraId="33FC9C58" w14:textId="72F02E4C" w:rsidR="00752B42" w:rsidRPr="00CD079B" w:rsidRDefault="00752B42" w:rsidP="00CD079B">
      <w:pPr>
        <w:pStyle w:val="Odstavecseseznamem"/>
        <w:numPr>
          <w:ilvl w:val="0"/>
          <w:numId w:val="48"/>
        </w:numPr>
        <w:rPr>
          <w:rFonts w:asciiTheme="majorHAnsi" w:hAnsiTheme="majorHAnsi" w:cstheme="majorHAnsi"/>
          <w:szCs w:val="20"/>
        </w:rPr>
      </w:pPr>
      <w:r w:rsidRPr="00CD079B">
        <w:rPr>
          <w:rFonts w:asciiTheme="majorHAnsi" w:hAnsiTheme="majorHAnsi" w:cstheme="majorHAnsi"/>
          <w:szCs w:val="20"/>
        </w:rPr>
        <w:t>parkoviště takové</w:t>
      </w:r>
      <w:r w:rsidR="00DB1BEC" w:rsidRPr="00CD079B">
        <w:rPr>
          <w:rFonts w:asciiTheme="majorHAnsi" w:hAnsiTheme="majorHAnsi" w:cstheme="majorHAnsi"/>
          <w:szCs w:val="20"/>
        </w:rPr>
        <w:t>ho bytového domu</w:t>
      </w:r>
      <w:r w:rsidRPr="00CD079B">
        <w:rPr>
          <w:rFonts w:asciiTheme="majorHAnsi" w:hAnsiTheme="majorHAnsi" w:cstheme="majorHAnsi"/>
          <w:szCs w:val="20"/>
        </w:rPr>
        <w:t xml:space="preserve"> je umístěno uvnitř budovy a u větších změn </w:t>
      </w:r>
      <w:r w:rsidR="00DB1BEC" w:rsidRPr="00CD079B">
        <w:rPr>
          <w:rFonts w:asciiTheme="majorHAnsi" w:hAnsiTheme="majorHAnsi" w:cstheme="majorHAnsi"/>
          <w:szCs w:val="20"/>
        </w:rPr>
        <w:t>bytových domů</w:t>
      </w:r>
      <w:r w:rsidRPr="00CD079B">
        <w:rPr>
          <w:rFonts w:asciiTheme="majorHAnsi" w:hAnsiTheme="majorHAnsi" w:cstheme="majorHAnsi"/>
          <w:szCs w:val="20"/>
        </w:rPr>
        <w:t xml:space="preserve"> se změny týkají i parkoviště či elektrických rozvodů této stavby, nebo</w:t>
      </w:r>
    </w:p>
    <w:p w14:paraId="7D06BE1F" w14:textId="54C1C356" w:rsidR="00752B42" w:rsidRPr="00752B42" w:rsidRDefault="00752B42" w:rsidP="00CD079B">
      <w:pPr>
        <w:pStyle w:val="Odstavecseseznamem"/>
        <w:numPr>
          <w:ilvl w:val="0"/>
          <w:numId w:val="48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 takové</w:t>
      </w:r>
      <w:r w:rsidR="00DB1BEC">
        <w:rPr>
          <w:rFonts w:asciiTheme="majorHAnsi" w:hAnsiTheme="majorHAnsi" w:cstheme="majorHAnsi"/>
          <w:szCs w:val="20"/>
        </w:rPr>
        <w:t>ho bytového domu</w:t>
      </w:r>
      <w:r w:rsidRPr="00752B42">
        <w:rPr>
          <w:rFonts w:asciiTheme="majorHAnsi" w:hAnsiTheme="majorHAnsi" w:cstheme="majorHAnsi"/>
          <w:szCs w:val="20"/>
        </w:rPr>
        <w:t xml:space="preserve"> s budovou fyzicky sousedí a u větších změn </w:t>
      </w:r>
      <w:r w:rsidR="00DB1BEC">
        <w:rPr>
          <w:rFonts w:asciiTheme="majorHAnsi" w:hAnsiTheme="majorHAnsi" w:cstheme="majorHAnsi"/>
          <w:szCs w:val="20"/>
        </w:rPr>
        <w:t>bytových domů</w:t>
      </w:r>
      <w:r w:rsidRPr="00752B42">
        <w:rPr>
          <w:rFonts w:asciiTheme="majorHAnsi" w:hAnsiTheme="majorHAnsi" w:cstheme="majorHAnsi"/>
          <w:szCs w:val="20"/>
        </w:rPr>
        <w:t xml:space="preserve"> se změny týkají i parkoviště či elektrických rozvodů parkoviště,</w:t>
      </w:r>
    </w:p>
    <w:p w14:paraId="06B8A985" w14:textId="77777777" w:rsidR="00752B42" w:rsidRPr="00752B42" w:rsidRDefault="00752B42" w:rsidP="00752B42">
      <w:pPr>
        <w:ind w:left="357"/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musí být vedle požadavku na počet parkovacích míst pro jízdní kola dle odstavců 3 a 4 současně splněn požadavek na vybavení minimálně dvěma parkovacími místy pro jízdní kola na každou bytovou jednotku.</w:t>
      </w:r>
    </w:p>
    <w:p w14:paraId="754C0956" w14:textId="26E3BC66" w:rsidR="00752B42" w:rsidRPr="00752B42" w:rsidRDefault="00752B42" w:rsidP="00CD079B">
      <w:pPr>
        <w:pStyle w:val="Odstavecseseznamem"/>
        <w:numPr>
          <w:ilvl w:val="0"/>
          <w:numId w:val="45"/>
        </w:numPr>
        <w:rPr>
          <w:rFonts w:asciiTheme="majorHAnsi" w:hAnsiTheme="majorHAnsi" w:cstheme="majorHAnsi"/>
          <w:szCs w:val="20"/>
        </w:rPr>
      </w:pPr>
      <w:r w:rsidRPr="00752B42">
        <w:rPr>
          <w:rFonts w:asciiTheme="majorHAnsi" w:hAnsiTheme="majorHAnsi" w:cstheme="majorHAnsi"/>
          <w:szCs w:val="20"/>
        </w:rPr>
        <w:t>Parkovištěm fyzicky sousedícím s budovou, se pro účely odstavců 5 a 7 rozumí parkoviště, které je určeno pro obyvatele, návštěvníky nebo pracovníky budovy a které se nachází na pozemku budovy nebo v její bezprostřední blízkosti.</w:t>
      </w:r>
    </w:p>
    <w:p w14:paraId="05CB1930" w14:textId="75BC52CF" w:rsidR="00477ED5" w:rsidRPr="00182F79" w:rsidRDefault="00752B42" w:rsidP="00CD079B">
      <w:pPr>
        <w:pStyle w:val="Odstavecseseznamem"/>
        <w:numPr>
          <w:ilvl w:val="0"/>
          <w:numId w:val="45"/>
        </w:numPr>
        <w:rPr>
          <w:rFonts w:eastAsia="Arial" w:cs="Arial"/>
        </w:rPr>
      </w:pPr>
      <w:r w:rsidRPr="00752B42">
        <w:rPr>
          <w:rFonts w:asciiTheme="majorHAnsi" w:hAnsiTheme="majorHAnsi" w:cstheme="majorHAnsi"/>
          <w:szCs w:val="20"/>
        </w:rPr>
        <w:t>U staveb, u nichž základní počet parkovacích míst pro jízdní kola podle této přílohy (součet vázaných a návštěvnických míst) činí 50 a více míst, se nejméně 2 % z tohoto počtu navrhne jako parkovací místa pro jízdní kola nadstandardních rozměrů podle § 27 odst. 3</w:t>
      </w:r>
      <w:r w:rsidR="0053460A">
        <w:rPr>
          <w:rFonts w:asciiTheme="majorHAnsi" w:hAnsiTheme="majorHAnsi" w:cstheme="majorHAnsi"/>
          <w:szCs w:val="20"/>
        </w:rPr>
        <w:t>.</w:t>
      </w:r>
      <w:r w:rsidRPr="00752B42">
        <w:rPr>
          <w:rFonts w:asciiTheme="majorHAnsi" w:hAnsiTheme="majorHAnsi" w:cstheme="majorHAnsi"/>
          <w:szCs w:val="20"/>
        </w:rPr>
        <w:t xml:space="preserve"> Parkovací místa pro jízdní kola nadstandardních rozměrů se započítávají do základního počtu míst podle věty první, nejde o místa zajišťovaná nad rámec tohoto počtu. Místa pro parkování jízdních kol nadstandardních rozměrů podle předchozí věty se zřizují jako místa pro parkování jízdních kol vázaná.</w:t>
      </w:r>
    </w:p>
    <w:p w14:paraId="08C607D9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tbl>
      <w:tblPr>
        <w:tblStyle w:val="Mkatabulky"/>
        <w:tblpPr w:leftFromText="141" w:rightFromText="141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1276"/>
        <w:gridCol w:w="992"/>
        <w:gridCol w:w="1559"/>
      </w:tblGrid>
      <w:tr w:rsidR="00477ED5" w:rsidRPr="008B0503" w14:paraId="34D39080" w14:textId="77777777">
        <w:trPr>
          <w:trHeight w:val="741"/>
        </w:trPr>
        <w:tc>
          <w:tcPr>
            <w:tcW w:w="846" w:type="dxa"/>
          </w:tcPr>
          <w:p w14:paraId="3027D34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č.</w:t>
            </w:r>
          </w:p>
        </w:tc>
        <w:tc>
          <w:tcPr>
            <w:tcW w:w="4961" w:type="dxa"/>
          </w:tcPr>
          <w:p w14:paraId="02E0C3D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Účel užívání</w:t>
            </w:r>
          </w:p>
        </w:tc>
        <w:tc>
          <w:tcPr>
            <w:tcW w:w="1276" w:type="dxa"/>
          </w:tcPr>
          <w:p w14:paraId="03C553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Ukazatel základního počtu stání [HPP m2 / 1 stání]</w:t>
            </w:r>
          </w:p>
        </w:tc>
        <w:tc>
          <w:tcPr>
            <w:tcW w:w="992" w:type="dxa"/>
          </w:tcPr>
          <w:p w14:paraId="44257F5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Vázané [%]</w:t>
            </w:r>
          </w:p>
        </w:tc>
        <w:tc>
          <w:tcPr>
            <w:tcW w:w="1559" w:type="dxa"/>
          </w:tcPr>
          <w:p w14:paraId="6D92D3C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Návštěvnické [%]</w:t>
            </w:r>
          </w:p>
        </w:tc>
      </w:tr>
      <w:tr w:rsidR="00477ED5" w:rsidRPr="008B0503" w14:paraId="24DB0AE2" w14:textId="77777777">
        <w:trPr>
          <w:trHeight w:val="206"/>
        </w:trPr>
        <w:tc>
          <w:tcPr>
            <w:tcW w:w="846" w:type="dxa"/>
          </w:tcPr>
          <w:p w14:paraId="335B474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</w:t>
            </w:r>
          </w:p>
        </w:tc>
        <w:tc>
          <w:tcPr>
            <w:tcW w:w="4961" w:type="dxa"/>
          </w:tcPr>
          <w:p w14:paraId="4FC970C3" w14:textId="73FF0516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Bydlení</w:t>
            </w:r>
          </w:p>
        </w:tc>
        <w:tc>
          <w:tcPr>
            <w:tcW w:w="1276" w:type="dxa"/>
          </w:tcPr>
          <w:p w14:paraId="7DF7D51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27B77F1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45929E9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14B4704B" w14:textId="77777777">
        <w:trPr>
          <w:trHeight w:val="219"/>
        </w:trPr>
        <w:tc>
          <w:tcPr>
            <w:tcW w:w="846" w:type="dxa"/>
          </w:tcPr>
          <w:p w14:paraId="023D358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2a</w:t>
            </w:r>
          </w:p>
        </w:tc>
        <w:tc>
          <w:tcPr>
            <w:tcW w:w="4961" w:type="dxa"/>
          </w:tcPr>
          <w:p w14:paraId="013B431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Obchody jednotlivé v parteru</w:t>
            </w:r>
          </w:p>
        </w:tc>
        <w:tc>
          <w:tcPr>
            <w:tcW w:w="1276" w:type="dxa"/>
          </w:tcPr>
          <w:p w14:paraId="5989113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7A6719C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605414F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75F0DC9D" w14:textId="77777777">
        <w:trPr>
          <w:trHeight w:val="904"/>
        </w:trPr>
        <w:tc>
          <w:tcPr>
            <w:tcW w:w="846" w:type="dxa"/>
          </w:tcPr>
          <w:p w14:paraId="6944A1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2b</w:t>
            </w:r>
          </w:p>
        </w:tc>
        <w:tc>
          <w:tcPr>
            <w:tcW w:w="4961" w:type="dxa"/>
          </w:tcPr>
          <w:p w14:paraId="08FC093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Služby a drobné provozovny (stravování, restaurace, hospody, řemeslné dílny, opravny, showroomy, výdejny e-shopů apod.)</w:t>
            </w:r>
          </w:p>
          <w:p w14:paraId="47F9B3B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516FF9D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autoservis</w:t>
            </w:r>
          </w:p>
        </w:tc>
        <w:tc>
          <w:tcPr>
            <w:tcW w:w="1276" w:type="dxa"/>
          </w:tcPr>
          <w:p w14:paraId="4FD0E48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  <w:p w14:paraId="1BDC020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247CC5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7763B9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0DD89C2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49EB093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8CC56C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22A9A3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276AFC1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E5686A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8779A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F79279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6168832A" w14:textId="77777777">
        <w:trPr>
          <w:trHeight w:val="423"/>
        </w:trPr>
        <w:tc>
          <w:tcPr>
            <w:tcW w:w="846" w:type="dxa"/>
          </w:tcPr>
          <w:p w14:paraId="344C708B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2c</w:t>
            </w:r>
          </w:p>
        </w:tc>
        <w:tc>
          <w:tcPr>
            <w:tcW w:w="4961" w:type="dxa"/>
          </w:tcPr>
          <w:p w14:paraId="7386418F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Obchod a služby velkoplošné</w:t>
            </w:r>
          </w:p>
          <w:p w14:paraId="008E0C9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(supermarkety, obchodní domy, obchodní centra, hypermarkety apod.)</w:t>
            </w:r>
          </w:p>
        </w:tc>
        <w:tc>
          <w:tcPr>
            <w:tcW w:w="1276" w:type="dxa"/>
          </w:tcPr>
          <w:p w14:paraId="6485468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67EFB52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7205BE7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3819C352" w14:textId="77777777">
        <w:trPr>
          <w:trHeight w:val="506"/>
        </w:trPr>
        <w:tc>
          <w:tcPr>
            <w:tcW w:w="846" w:type="dxa"/>
          </w:tcPr>
          <w:p w14:paraId="017CDB6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3a</w:t>
            </w:r>
          </w:p>
        </w:tc>
        <w:tc>
          <w:tcPr>
            <w:tcW w:w="4961" w:type="dxa"/>
          </w:tcPr>
          <w:p w14:paraId="2DFA66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Administrativa s malou návštěvností </w:t>
            </w:r>
          </w:p>
          <w:p w14:paraId="7A4297C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(běžné administrativní provozy, sídla firem, projekční ateliéry apod.)</w:t>
            </w:r>
          </w:p>
        </w:tc>
        <w:tc>
          <w:tcPr>
            <w:tcW w:w="1276" w:type="dxa"/>
          </w:tcPr>
          <w:p w14:paraId="67C6705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200</w:t>
            </w:r>
          </w:p>
        </w:tc>
        <w:tc>
          <w:tcPr>
            <w:tcW w:w="992" w:type="dxa"/>
          </w:tcPr>
          <w:p w14:paraId="42D0D2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6029A13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3DC4B60" w14:textId="77777777">
        <w:trPr>
          <w:trHeight w:val="672"/>
        </w:trPr>
        <w:tc>
          <w:tcPr>
            <w:tcW w:w="846" w:type="dxa"/>
          </w:tcPr>
          <w:p w14:paraId="4F66F78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3b</w:t>
            </w:r>
          </w:p>
        </w:tc>
        <w:tc>
          <w:tcPr>
            <w:tcW w:w="4961" w:type="dxa"/>
          </w:tcPr>
          <w:p w14:paraId="3C33E977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Administrativa s velkou návštěvností </w:t>
            </w:r>
          </w:p>
          <w:p w14:paraId="2E903CC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(veřejné a další instituce, úřady, banky, pojišťovny, pošty apod., zejména vybavenost s přepážkovým provozem)</w:t>
            </w:r>
          </w:p>
        </w:tc>
        <w:tc>
          <w:tcPr>
            <w:tcW w:w="1276" w:type="dxa"/>
          </w:tcPr>
          <w:p w14:paraId="6E78106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</w:tc>
        <w:tc>
          <w:tcPr>
            <w:tcW w:w="992" w:type="dxa"/>
          </w:tcPr>
          <w:p w14:paraId="0F1B350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1559" w:type="dxa"/>
          </w:tcPr>
          <w:p w14:paraId="21CD810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</w:tr>
      <w:tr w:rsidR="00477ED5" w:rsidRPr="008B0503" w14:paraId="181CD834" w14:textId="77777777">
        <w:trPr>
          <w:trHeight w:val="412"/>
        </w:trPr>
        <w:tc>
          <w:tcPr>
            <w:tcW w:w="846" w:type="dxa"/>
          </w:tcPr>
          <w:p w14:paraId="15448D8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4a</w:t>
            </w:r>
          </w:p>
        </w:tc>
        <w:tc>
          <w:tcPr>
            <w:tcW w:w="4961" w:type="dxa"/>
          </w:tcPr>
          <w:p w14:paraId="01F70E6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dlouhodobé</w:t>
            </w:r>
          </w:p>
          <w:p w14:paraId="7DEF3C8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(ubytovna pro zaměstnance apod.)</w:t>
            </w:r>
          </w:p>
        </w:tc>
        <w:tc>
          <w:tcPr>
            <w:tcW w:w="1276" w:type="dxa"/>
          </w:tcPr>
          <w:p w14:paraId="5DF22E6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2EEC410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38866D5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3289E964" w14:textId="77777777">
        <w:trPr>
          <w:trHeight w:val="522"/>
        </w:trPr>
        <w:tc>
          <w:tcPr>
            <w:tcW w:w="846" w:type="dxa"/>
          </w:tcPr>
          <w:p w14:paraId="259F0E9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4b</w:t>
            </w:r>
          </w:p>
        </w:tc>
        <w:tc>
          <w:tcPr>
            <w:tcW w:w="4961" w:type="dxa"/>
          </w:tcPr>
          <w:p w14:paraId="61FEBC0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pro studenty</w:t>
            </w:r>
          </w:p>
          <w:p w14:paraId="0480FD5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(vysokoškolské koleje apod.)</w:t>
            </w:r>
          </w:p>
        </w:tc>
        <w:tc>
          <w:tcPr>
            <w:tcW w:w="1276" w:type="dxa"/>
          </w:tcPr>
          <w:p w14:paraId="6384ACE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73EAFF9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95D7CD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47B3E9AB" w14:textId="77777777">
        <w:trPr>
          <w:trHeight w:val="696"/>
        </w:trPr>
        <w:tc>
          <w:tcPr>
            <w:tcW w:w="846" w:type="dxa"/>
          </w:tcPr>
          <w:p w14:paraId="6FCB732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lastRenderedPageBreak/>
              <w:t>4c</w:t>
            </w:r>
          </w:p>
        </w:tc>
        <w:tc>
          <w:tcPr>
            <w:tcW w:w="4961" w:type="dxa"/>
          </w:tcPr>
          <w:p w14:paraId="6B0D602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Ubytování krátkodobé</w:t>
            </w:r>
          </w:p>
          <w:p w14:paraId="7B2DBE6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(hotely, penziony apod.)</w:t>
            </w:r>
          </w:p>
          <w:p w14:paraId="24EE95B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— vybrané účely užívání se specifickými nároky: </w:t>
            </w:r>
          </w:p>
          <w:p w14:paraId="6FF16F28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motel</w:t>
            </w:r>
          </w:p>
          <w:p w14:paraId="1C4232C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hostel</w:t>
            </w:r>
          </w:p>
        </w:tc>
        <w:tc>
          <w:tcPr>
            <w:tcW w:w="1276" w:type="dxa"/>
          </w:tcPr>
          <w:p w14:paraId="32A3408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  <w:p w14:paraId="3BEF706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BB7244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BF8DA3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  <w:p w14:paraId="44D76E6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1000</w:t>
            </w:r>
          </w:p>
        </w:tc>
        <w:tc>
          <w:tcPr>
            <w:tcW w:w="992" w:type="dxa"/>
          </w:tcPr>
          <w:p w14:paraId="17B449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7A7C4C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D99D4E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189190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6390FD9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4C5DC64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448D4B2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B8895B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1E588E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1DC272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844AAAC" w14:textId="77777777">
        <w:trPr>
          <w:trHeight w:val="646"/>
        </w:trPr>
        <w:tc>
          <w:tcPr>
            <w:tcW w:w="846" w:type="dxa"/>
          </w:tcPr>
          <w:p w14:paraId="5C182FE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4d</w:t>
            </w:r>
          </w:p>
        </w:tc>
        <w:tc>
          <w:tcPr>
            <w:tcW w:w="4961" w:type="dxa"/>
          </w:tcPr>
          <w:p w14:paraId="26F237D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Institucionální a sociální péče</w:t>
            </w:r>
          </w:p>
          <w:p w14:paraId="3553F55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(domovy pro seniory, domy s pečovatelskou službou)</w:t>
            </w:r>
          </w:p>
          <w:p w14:paraId="70F6D43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— vybrané účely užívání se specifickými nároky: </w:t>
            </w:r>
          </w:p>
          <w:p w14:paraId="4838B0ED" w14:textId="71C71F8F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domovy mládeže, azylové domy apod.</w:t>
            </w:r>
          </w:p>
        </w:tc>
        <w:tc>
          <w:tcPr>
            <w:tcW w:w="1276" w:type="dxa"/>
          </w:tcPr>
          <w:p w14:paraId="41E857A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  <w:p w14:paraId="0978710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C95B41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62AFBA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7A04DDC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27BC15C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59C0CB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E9FD23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54517CB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552B9EB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57427C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4269C3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2484A9D8" w14:textId="77777777">
        <w:trPr>
          <w:trHeight w:val="1084"/>
        </w:trPr>
        <w:tc>
          <w:tcPr>
            <w:tcW w:w="846" w:type="dxa"/>
          </w:tcPr>
          <w:p w14:paraId="2D54728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5a</w:t>
            </w:r>
          </w:p>
        </w:tc>
        <w:tc>
          <w:tcPr>
            <w:tcW w:w="4961" w:type="dxa"/>
          </w:tcPr>
          <w:p w14:paraId="1BB9BFE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Školství</w:t>
            </w:r>
          </w:p>
          <w:p w14:paraId="40035F6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(základní škola, střední škola, učiliště apod.)</w:t>
            </w:r>
          </w:p>
          <w:p w14:paraId="5C70AB04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695DB12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jesle, mateřská škola</w:t>
            </w:r>
          </w:p>
          <w:p w14:paraId="4A6263A3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vysoká škola</w:t>
            </w:r>
          </w:p>
        </w:tc>
        <w:tc>
          <w:tcPr>
            <w:tcW w:w="1276" w:type="dxa"/>
          </w:tcPr>
          <w:p w14:paraId="3B9533B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65EDC29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D4F86F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1EF925E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150</w:t>
            </w:r>
          </w:p>
          <w:p w14:paraId="572F81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54825E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2874B61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2079FF9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34E69D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  <w:p w14:paraId="72403DB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258C8E0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1C32107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7AD8DB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822E7C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1E224A2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5708F860" w14:textId="77777777">
        <w:trPr>
          <w:trHeight w:val="459"/>
        </w:trPr>
        <w:tc>
          <w:tcPr>
            <w:tcW w:w="846" w:type="dxa"/>
          </w:tcPr>
          <w:p w14:paraId="107482D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5b</w:t>
            </w:r>
          </w:p>
        </w:tc>
        <w:tc>
          <w:tcPr>
            <w:tcW w:w="4961" w:type="dxa"/>
          </w:tcPr>
          <w:p w14:paraId="60CCFF0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Vzdělávání / kongres</w:t>
            </w:r>
          </w:p>
          <w:p w14:paraId="33605F8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(školicí zařízení, přednáškové centrum, kongresové centrum apod.)</w:t>
            </w:r>
          </w:p>
        </w:tc>
        <w:tc>
          <w:tcPr>
            <w:tcW w:w="1276" w:type="dxa"/>
          </w:tcPr>
          <w:p w14:paraId="133C6E92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300</w:t>
            </w:r>
          </w:p>
          <w:p w14:paraId="106A8BF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992" w:type="dxa"/>
          </w:tcPr>
          <w:p w14:paraId="6287592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80</w:t>
            </w:r>
          </w:p>
          <w:p w14:paraId="7D749E6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  <w:tc>
          <w:tcPr>
            <w:tcW w:w="1559" w:type="dxa"/>
          </w:tcPr>
          <w:p w14:paraId="7DEF040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20</w:t>
            </w:r>
          </w:p>
          <w:p w14:paraId="557A7C8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</w:tc>
      </w:tr>
      <w:tr w:rsidR="00477ED5" w:rsidRPr="008B0503" w14:paraId="1A8CBA51" w14:textId="77777777">
        <w:trPr>
          <w:trHeight w:val="878"/>
        </w:trPr>
        <w:tc>
          <w:tcPr>
            <w:tcW w:w="846" w:type="dxa"/>
          </w:tcPr>
          <w:p w14:paraId="0E2D5BD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</w:t>
            </w:r>
          </w:p>
        </w:tc>
        <w:tc>
          <w:tcPr>
            <w:tcW w:w="4961" w:type="dxa"/>
          </w:tcPr>
          <w:p w14:paraId="7D28D5D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Provozy se shromažďovacími prostory (kino, divadla, koncertní, společenské a taneční sály apod.)</w:t>
            </w:r>
          </w:p>
          <w:p w14:paraId="22A1772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—vybrané účely užívání se specifickými nároky:</w:t>
            </w:r>
          </w:p>
          <w:p w14:paraId="27659E70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 xml:space="preserve">kostel, modlitebna </w:t>
            </w:r>
          </w:p>
          <w:p w14:paraId="007C052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obřadní síň, krematorium</w:t>
            </w:r>
          </w:p>
        </w:tc>
        <w:tc>
          <w:tcPr>
            <w:tcW w:w="1276" w:type="dxa"/>
          </w:tcPr>
          <w:p w14:paraId="30DE9A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66DB4CC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61DD09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0D8F67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  <w:p w14:paraId="5E75295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  <w:tc>
          <w:tcPr>
            <w:tcW w:w="992" w:type="dxa"/>
          </w:tcPr>
          <w:p w14:paraId="4FC0128C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16946F2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577A2E3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54D0E5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  <w:p w14:paraId="782CD9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6BA8B90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2CE943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A18B9A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719713E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  <w:p w14:paraId="4BE4909D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33C6EC2B" w14:textId="77777777">
        <w:trPr>
          <w:trHeight w:val="191"/>
        </w:trPr>
        <w:tc>
          <w:tcPr>
            <w:tcW w:w="846" w:type="dxa"/>
          </w:tcPr>
          <w:p w14:paraId="23D482C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</w:t>
            </w:r>
          </w:p>
        </w:tc>
        <w:tc>
          <w:tcPr>
            <w:tcW w:w="4961" w:type="dxa"/>
          </w:tcPr>
          <w:p w14:paraId="2AA8EAF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Kulturní instituce</w:t>
            </w:r>
          </w:p>
          <w:p w14:paraId="2D4B298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(galerie, muzea, knihovny apod.)</w:t>
            </w:r>
          </w:p>
        </w:tc>
        <w:tc>
          <w:tcPr>
            <w:tcW w:w="1276" w:type="dxa"/>
          </w:tcPr>
          <w:p w14:paraId="3784D61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7E1522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  <w:tc>
          <w:tcPr>
            <w:tcW w:w="1559" w:type="dxa"/>
          </w:tcPr>
          <w:p w14:paraId="0BDCE1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</w:tr>
      <w:tr w:rsidR="00477ED5" w:rsidRPr="008B0503" w14:paraId="4099CD37" w14:textId="77777777">
        <w:trPr>
          <w:trHeight w:val="178"/>
        </w:trPr>
        <w:tc>
          <w:tcPr>
            <w:tcW w:w="846" w:type="dxa"/>
          </w:tcPr>
          <w:p w14:paraId="715EFBB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8a</w:t>
            </w:r>
          </w:p>
        </w:tc>
        <w:tc>
          <w:tcPr>
            <w:tcW w:w="4961" w:type="dxa"/>
          </w:tcPr>
          <w:p w14:paraId="63EABFD7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Zdravotnická zařízení ambulantní (poliklinika, zdravotní ordinace apod.)</w:t>
            </w:r>
          </w:p>
        </w:tc>
        <w:tc>
          <w:tcPr>
            <w:tcW w:w="1276" w:type="dxa"/>
          </w:tcPr>
          <w:p w14:paraId="3FCE95C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250</w:t>
            </w:r>
          </w:p>
        </w:tc>
        <w:tc>
          <w:tcPr>
            <w:tcW w:w="992" w:type="dxa"/>
          </w:tcPr>
          <w:p w14:paraId="735440F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024C34F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5149FD81" w14:textId="77777777">
        <w:trPr>
          <w:trHeight w:val="191"/>
        </w:trPr>
        <w:tc>
          <w:tcPr>
            <w:tcW w:w="846" w:type="dxa"/>
          </w:tcPr>
          <w:p w14:paraId="676281C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8b</w:t>
            </w:r>
          </w:p>
        </w:tc>
        <w:tc>
          <w:tcPr>
            <w:tcW w:w="4961" w:type="dxa"/>
          </w:tcPr>
          <w:p w14:paraId="4918EAF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Zdravotnická zařízení lůžková (nemocnice, klinika apod.)</w:t>
            </w:r>
          </w:p>
        </w:tc>
        <w:tc>
          <w:tcPr>
            <w:tcW w:w="1276" w:type="dxa"/>
          </w:tcPr>
          <w:p w14:paraId="5BFAA00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38DA236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70</w:t>
            </w:r>
          </w:p>
        </w:tc>
        <w:tc>
          <w:tcPr>
            <w:tcW w:w="1559" w:type="dxa"/>
          </w:tcPr>
          <w:p w14:paraId="238C1D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30</w:t>
            </w:r>
          </w:p>
        </w:tc>
      </w:tr>
      <w:tr w:rsidR="00477ED5" w:rsidRPr="008B0503" w14:paraId="7EA60EB6" w14:textId="77777777">
        <w:trPr>
          <w:trHeight w:val="191"/>
        </w:trPr>
        <w:tc>
          <w:tcPr>
            <w:tcW w:w="846" w:type="dxa"/>
          </w:tcPr>
          <w:p w14:paraId="1E8F29F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9a</w:t>
            </w:r>
          </w:p>
        </w:tc>
        <w:tc>
          <w:tcPr>
            <w:tcW w:w="4961" w:type="dxa"/>
          </w:tcPr>
          <w:p w14:paraId="754A8681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Sportovní centra / bez diváků</w:t>
            </w:r>
          </w:p>
          <w:p w14:paraId="4716FA8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provozy s vnitřní hrací plochou (sportovní hala, tělocvična, squash apod.)</w:t>
            </w:r>
          </w:p>
        </w:tc>
        <w:tc>
          <w:tcPr>
            <w:tcW w:w="1276" w:type="dxa"/>
          </w:tcPr>
          <w:p w14:paraId="5795C3A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100</w:t>
            </w:r>
          </w:p>
        </w:tc>
        <w:tc>
          <w:tcPr>
            <w:tcW w:w="992" w:type="dxa"/>
          </w:tcPr>
          <w:p w14:paraId="27803A8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7D5345B4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72A0E84E" w14:textId="77777777" w:rsidTr="0036671E">
        <w:trPr>
          <w:trHeight w:val="1078"/>
        </w:trPr>
        <w:tc>
          <w:tcPr>
            <w:tcW w:w="846" w:type="dxa"/>
          </w:tcPr>
          <w:p w14:paraId="438F53E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9b</w:t>
            </w:r>
          </w:p>
        </w:tc>
        <w:tc>
          <w:tcPr>
            <w:tcW w:w="4961" w:type="dxa"/>
          </w:tcPr>
          <w:p w14:paraId="6C939605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Sportovní centra / bez diváků</w:t>
            </w:r>
          </w:p>
          <w:p w14:paraId="74EF1F5F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provozy bez hrací plochy a bazény (wellness, fitness, bowling, plavecký bazén, aquapark apod.)</w:t>
            </w:r>
          </w:p>
        </w:tc>
        <w:tc>
          <w:tcPr>
            <w:tcW w:w="1276" w:type="dxa"/>
          </w:tcPr>
          <w:p w14:paraId="14936C8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992" w:type="dxa"/>
          </w:tcPr>
          <w:p w14:paraId="76B7825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</w:t>
            </w:r>
          </w:p>
        </w:tc>
        <w:tc>
          <w:tcPr>
            <w:tcW w:w="1559" w:type="dxa"/>
          </w:tcPr>
          <w:p w14:paraId="790FEA6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60</w:t>
            </w:r>
          </w:p>
        </w:tc>
      </w:tr>
      <w:tr w:rsidR="00477ED5" w:rsidRPr="008B0503" w14:paraId="13814C3B" w14:textId="77777777">
        <w:trPr>
          <w:trHeight w:val="191"/>
        </w:trPr>
        <w:tc>
          <w:tcPr>
            <w:tcW w:w="846" w:type="dxa"/>
          </w:tcPr>
          <w:p w14:paraId="21FCE5A9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9c</w:t>
            </w:r>
          </w:p>
        </w:tc>
        <w:tc>
          <w:tcPr>
            <w:tcW w:w="4961" w:type="dxa"/>
          </w:tcPr>
          <w:p w14:paraId="7E033877" w14:textId="0AC71170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Venkovní sportoviště / bez diváků</w:t>
            </w:r>
            <w:r>
              <w:rPr>
                <w:rFonts w:asciiTheme="majorHAnsi" w:hAnsiTheme="majorHAnsi" w:cstheme="majorHAnsi"/>
                <w:szCs w:val="20"/>
              </w:rPr>
              <w:t>*</w:t>
            </w:r>
            <w:r w:rsidRPr="008B0503">
              <w:rPr>
                <w:rFonts w:asciiTheme="majorHAnsi" w:hAnsiTheme="majorHAnsi" w:cstheme="majorHAnsi"/>
                <w:szCs w:val="20"/>
              </w:rPr>
              <w:t xml:space="preserve"> (tenisové kurty, hřiště na volejbal, hřiště na malý fotbal apod.) </w:t>
            </w:r>
          </w:p>
          <w:p w14:paraId="5C9A36A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vybrané účely užívání se specifickými nároky:</w:t>
            </w:r>
          </w:p>
          <w:p w14:paraId="232F5D3E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fotbalové hřiště</w:t>
            </w:r>
          </w:p>
        </w:tc>
        <w:tc>
          <w:tcPr>
            <w:tcW w:w="1276" w:type="dxa"/>
          </w:tcPr>
          <w:p w14:paraId="6B18CC5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120</w:t>
            </w:r>
          </w:p>
          <w:p w14:paraId="3163337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5BB2A3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84E3CD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400</w:t>
            </w:r>
          </w:p>
        </w:tc>
        <w:tc>
          <w:tcPr>
            <w:tcW w:w="992" w:type="dxa"/>
          </w:tcPr>
          <w:p w14:paraId="2C81EAC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  <w:p w14:paraId="0F190E9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4F509995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220B8D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  <w:tc>
          <w:tcPr>
            <w:tcW w:w="1559" w:type="dxa"/>
          </w:tcPr>
          <w:p w14:paraId="1C6067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  <w:p w14:paraId="3964E2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E4C7F1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07B3B05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</w:tr>
      <w:tr w:rsidR="00477ED5" w:rsidRPr="008B0503" w14:paraId="78184783" w14:textId="77777777">
        <w:trPr>
          <w:trHeight w:val="191"/>
        </w:trPr>
        <w:tc>
          <w:tcPr>
            <w:tcW w:w="846" w:type="dxa"/>
          </w:tcPr>
          <w:p w14:paraId="62563D9C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  <w:tc>
          <w:tcPr>
            <w:tcW w:w="4961" w:type="dxa"/>
          </w:tcPr>
          <w:p w14:paraId="21868322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Výroba</w:t>
            </w:r>
          </w:p>
        </w:tc>
        <w:tc>
          <w:tcPr>
            <w:tcW w:w="1276" w:type="dxa"/>
          </w:tcPr>
          <w:p w14:paraId="406173B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759FF396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450BAB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669C3023" w14:textId="77777777">
        <w:trPr>
          <w:trHeight w:val="191"/>
        </w:trPr>
        <w:tc>
          <w:tcPr>
            <w:tcW w:w="846" w:type="dxa"/>
          </w:tcPr>
          <w:p w14:paraId="567C538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11</w:t>
            </w:r>
          </w:p>
        </w:tc>
        <w:tc>
          <w:tcPr>
            <w:tcW w:w="4961" w:type="dxa"/>
          </w:tcPr>
          <w:p w14:paraId="7A9DC526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Skladování</w:t>
            </w:r>
          </w:p>
        </w:tc>
        <w:tc>
          <w:tcPr>
            <w:tcW w:w="1276" w:type="dxa"/>
          </w:tcPr>
          <w:p w14:paraId="11A131D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500</w:t>
            </w:r>
          </w:p>
        </w:tc>
        <w:tc>
          <w:tcPr>
            <w:tcW w:w="992" w:type="dxa"/>
          </w:tcPr>
          <w:p w14:paraId="70023329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90</w:t>
            </w:r>
          </w:p>
        </w:tc>
        <w:tc>
          <w:tcPr>
            <w:tcW w:w="1559" w:type="dxa"/>
          </w:tcPr>
          <w:p w14:paraId="1F71AA3A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10</w:t>
            </w:r>
          </w:p>
        </w:tc>
      </w:tr>
      <w:tr w:rsidR="00477ED5" w:rsidRPr="008B0503" w14:paraId="48BB84D4" w14:textId="77777777">
        <w:trPr>
          <w:trHeight w:val="191"/>
        </w:trPr>
        <w:tc>
          <w:tcPr>
            <w:tcW w:w="846" w:type="dxa"/>
          </w:tcPr>
          <w:p w14:paraId="10EF89FB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12</w:t>
            </w:r>
          </w:p>
        </w:tc>
        <w:tc>
          <w:tcPr>
            <w:tcW w:w="4961" w:type="dxa"/>
          </w:tcPr>
          <w:p w14:paraId="508D1ECD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Specifické účely užívání</w:t>
            </w:r>
          </w:p>
          <w:p w14:paraId="50E3764A" w14:textId="516F6E8F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stadion, sportovní a multifunkční hala, koncertní hala apod</w:t>
            </w:r>
            <w:r w:rsidR="00090EF3">
              <w:rPr>
                <w:rFonts w:asciiTheme="majorHAnsi" w:hAnsiTheme="majorHAnsi" w:cstheme="majorHAnsi"/>
                <w:szCs w:val="20"/>
              </w:rPr>
              <w:t>.</w:t>
            </w:r>
          </w:p>
          <w:p w14:paraId="413DCA3A" w14:textId="77777777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— zoologická zahrada, botanická zahrada</w:t>
            </w:r>
          </w:p>
          <w:p w14:paraId="7A83E8A3" w14:textId="11F4AE09" w:rsidR="00477ED5" w:rsidRPr="008B0503" w:rsidRDefault="00477ED5">
            <w:pPr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lastRenderedPageBreak/>
              <w:t>— výstaviště, zábavní park, volnočasový areál apod.</w:t>
            </w:r>
          </w:p>
        </w:tc>
        <w:tc>
          <w:tcPr>
            <w:tcW w:w="1276" w:type="dxa"/>
          </w:tcPr>
          <w:p w14:paraId="31809FB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2E7B0120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3FE6E877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1870EDC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  <w:tc>
          <w:tcPr>
            <w:tcW w:w="992" w:type="dxa"/>
          </w:tcPr>
          <w:p w14:paraId="3F5ECF3F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33418991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744745C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6D4DF0A3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  <w:tc>
          <w:tcPr>
            <w:tcW w:w="1559" w:type="dxa"/>
          </w:tcPr>
          <w:p w14:paraId="62158058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</w:p>
          <w:p w14:paraId="6DE995CB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3524872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  <w:p w14:paraId="5562C20E" w14:textId="77777777" w:rsidR="00477ED5" w:rsidRPr="008B0503" w:rsidRDefault="00477ED5">
            <w:pPr>
              <w:ind w:left="5"/>
              <w:rPr>
                <w:rFonts w:asciiTheme="majorHAnsi" w:hAnsiTheme="majorHAnsi" w:cstheme="majorHAnsi"/>
                <w:szCs w:val="20"/>
              </w:rPr>
            </w:pPr>
            <w:r w:rsidRPr="008B0503">
              <w:rPr>
                <w:rFonts w:asciiTheme="majorHAnsi" w:hAnsiTheme="majorHAnsi" w:cstheme="majorHAnsi"/>
                <w:szCs w:val="20"/>
              </w:rPr>
              <w:t>x</w:t>
            </w:r>
          </w:p>
        </w:tc>
      </w:tr>
    </w:tbl>
    <w:p w14:paraId="5CE38883" w14:textId="77777777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</w:p>
    <w:p w14:paraId="2E5E74EA" w14:textId="73FAB502" w:rsidR="00477ED5" w:rsidRPr="008B0503" w:rsidRDefault="00477ED5" w:rsidP="00477ED5">
      <w:pPr>
        <w:ind w:left="357"/>
        <w:rPr>
          <w:rFonts w:asciiTheme="majorHAnsi" w:hAnsiTheme="majorHAnsi" w:cstheme="majorHAnsi"/>
          <w:szCs w:val="20"/>
        </w:rPr>
      </w:pPr>
      <w:r>
        <w:rPr>
          <w:rFonts w:asciiTheme="majorHAnsi" w:hAnsiTheme="majorHAnsi" w:cstheme="majorHAnsi"/>
          <w:szCs w:val="20"/>
        </w:rPr>
        <w:t>*</w:t>
      </w:r>
      <w:r w:rsidRPr="008B0503">
        <w:rPr>
          <w:rFonts w:asciiTheme="majorHAnsi" w:hAnsiTheme="majorHAnsi" w:cstheme="majorHAnsi"/>
          <w:szCs w:val="20"/>
        </w:rPr>
        <w:t>započítává se venkovní plocha s hřišti a sportovišti</w:t>
      </w:r>
    </w:p>
    <w:p w14:paraId="49E79704" w14:textId="77777777" w:rsidR="00D5261F" w:rsidRDefault="00D5261F" w:rsidP="00D5261F">
      <w:pPr>
        <w:rPr>
          <w:rFonts w:asciiTheme="minorHAnsi" w:hAnsiTheme="minorHAnsi" w:cstheme="minorHAnsi"/>
          <w:i/>
          <w:szCs w:val="20"/>
        </w:rPr>
      </w:pPr>
    </w:p>
    <w:sectPr w:rsidR="00D5261F" w:rsidSect="005B0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134" w:header="107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BDBDF" w14:textId="77777777" w:rsidR="00873596" w:rsidRDefault="00873596" w:rsidP="0018303A">
      <w:pPr>
        <w:spacing w:line="240" w:lineRule="auto"/>
      </w:pPr>
      <w:r>
        <w:separator/>
      </w:r>
    </w:p>
  </w:endnote>
  <w:endnote w:type="continuationSeparator" w:id="0">
    <w:p w14:paraId="42A0DE7E" w14:textId="77777777" w:rsidR="00873596" w:rsidRDefault="00873596" w:rsidP="001830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8346F" w14:textId="77777777" w:rsidR="005B03C9" w:rsidRDefault="005B03C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215675"/>
      <w:docPartObj>
        <w:docPartGallery w:val="Page Numbers (Top of Page)"/>
        <w:docPartUnique/>
      </w:docPartObj>
    </w:sdtPr>
    <w:sdtEndPr/>
    <w:sdtContent>
      <w:p w14:paraId="5428B9FC" w14:textId="77777777" w:rsidR="005B03C9" w:rsidRPr="005B03C9" w:rsidRDefault="005B03C9" w:rsidP="005B03C9">
        <w:pPr>
          <w:pStyle w:val="Zpat"/>
        </w:pPr>
      </w:p>
      <w:p w14:paraId="3973D755" w14:textId="4536C821" w:rsidR="005B03C9" w:rsidRPr="005B03C9" w:rsidRDefault="005B03C9" w:rsidP="005B03C9">
        <w:pPr>
          <w:pStyle w:val="Zpat"/>
        </w:pPr>
        <w:r w:rsidRPr="005B03C9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304DDD1C" wp14:editId="425537D5">
                  <wp:simplePos x="0" y="0"/>
                  <wp:positionH relativeFrom="page">
                    <wp:posOffset>720090</wp:posOffset>
                  </wp:positionH>
                  <wp:positionV relativeFrom="page">
                    <wp:posOffset>9855200</wp:posOffset>
                  </wp:positionV>
                  <wp:extent cx="6123305" cy="0"/>
                  <wp:effectExtent l="0" t="0" r="0" b="0"/>
                  <wp:wrapNone/>
                  <wp:docPr id="14914020" name="Přímá spojnice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2330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27ED9F7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pt" to="538.8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" strokecolor="#ed1c24 [3204]" strokeweight=".5pt">
                  <v:stroke joinstyle="miter"/>
                  <w10:wrap anchorx="page" anchory="page"/>
                  <w10:anchorlock/>
                </v:line>
              </w:pict>
            </mc:Fallback>
          </mc:AlternateContent>
        </w:r>
        <w:r w:rsidRPr="005B03C9">
          <w:t>Datum nabytí účinnosti: 3. 11. 2026 s výjimkou uvedenou v článku 3 tohoto nařízen</w:t>
        </w:r>
        <w:r w:rsidR="00CF6F24">
          <w:t>í</w:t>
        </w:r>
        <w:r w:rsidR="00CF6F24">
          <w:tab/>
        </w:r>
        <w:r w:rsidR="00441E7E">
          <w:t xml:space="preserve">Strana </w:t>
        </w:r>
        <w:r w:rsidR="00977EC3">
          <w:fldChar w:fldCharType="begin"/>
        </w:r>
        <w:r w:rsidR="00977EC3">
          <w:instrText>PAGE   \* MERGEFORMAT</w:instrText>
        </w:r>
        <w:r w:rsidR="00977EC3">
          <w:fldChar w:fldCharType="separate"/>
        </w:r>
        <w:r w:rsidR="00977EC3">
          <w:t>1</w:t>
        </w:r>
        <w:r w:rsidR="00977EC3">
          <w:fldChar w:fldCharType="end"/>
        </w:r>
        <w:r w:rsidR="00977EC3">
          <w:t xml:space="preserve"> (celkem</w:t>
        </w:r>
        <w:r w:rsidR="00441E7E">
          <w:t xml:space="preserve"> </w:t>
        </w:r>
        <w:r w:rsidR="00977EC3">
          <w:t>4</w:t>
        </w:r>
        <w:r w:rsidR="00441E7E">
          <w:t>)</w:t>
        </w:r>
      </w:p>
    </w:sdtContent>
  </w:sdt>
  <w:p w14:paraId="4FEFC6F6" w14:textId="77777777" w:rsidR="005B03C9" w:rsidRDefault="005B03C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6813264"/>
      <w:docPartObj>
        <w:docPartGallery w:val="Page Numbers (Bottom of Page)"/>
        <w:docPartUnique/>
      </w:docPartObj>
    </w:sdtPr>
    <w:sdtEndPr/>
    <w:sdtContent>
      <w:p w14:paraId="291196EA" w14:textId="6AEB30D1" w:rsidR="005B03C9" w:rsidRDefault="005B03C9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id w:val="-1046518573"/>
      <w:docPartObj>
        <w:docPartGallery w:val="Page Numbers (Top of Page)"/>
        <w:docPartUnique/>
      </w:docPartObj>
    </w:sdtPr>
    <w:sdtEndPr/>
    <w:sdtContent>
      <w:p w14:paraId="1C681AEC" w14:textId="77777777" w:rsidR="005B03C9" w:rsidRPr="005B03C9" w:rsidRDefault="005B03C9" w:rsidP="005B03C9">
        <w:pPr>
          <w:pStyle w:val="Zpat"/>
        </w:pPr>
      </w:p>
      <w:p w14:paraId="60DD8D06" w14:textId="41557C5C" w:rsidR="005B03C9" w:rsidRPr="005B03C9" w:rsidRDefault="005B03C9" w:rsidP="005B03C9">
        <w:pPr>
          <w:pStyle w:val="Zpat"/>
        </w:pPr>
        <w:r w:rsidRPr="005B03C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39696C2F" wp14:editId="3FF33838">
                  <wp:simplePos x="0" y="0"/>
                  <wp:positionH relativeFrom="page">
                    <wp:posOffset>720090</wp:posOffset>
                  </wp:positionH>
                  <wp:positionV relativeFrom="page">
                    <wp:posOffset>9855200</wp:posOffset>
                  </wp:positionV>
                  <wp:extent cx="6123305" cy="0"/>
                  <wp:effectExtent l="0" t="0" r="0" b="0"/>
                  <wp:wrapNone/>
                  <wp:docPr id="351139711" name="Přímá spojnic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23305" cy="0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5B85821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76pt" to="538.8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" strokecolor="#ed1c24 [3204]" strokeweight=".5pt">
                  <v:stroke joinstyle="miter"/>
                  <w10:wrap anchorx="page" anchory="page"/>
                  <w10:anchorlock/>
                </v:line>
              </w:pict>
            </mc:Fallback>
          </mc:AlternateContent>
        </w:r>
        <w:r w:rsidRPr="005B03C9">
          <w:t>Datum nabytí účinnosti: 3. 11. 2026 s výjimkou uvedenou v článku 3 tohoto nařízení</w:t>
        </w:r>
        <w:r w:rsidR="00977EC3">
          <w:tab/>
        </w:r>
        <w:r w:rsidR="00441E7E">
          <w:t>S</w:t>
        </w:r>
        <w:r w:rsidR="00977EC3">
          <w:t xml:space="preserve">trana </w:t>
        </w:r>
        <w:r w:rsidR="00977EC3">
          <w:fldChar w:fldCharType="begin"/>
        </w:r>
        <w:r w:rsidR="00977EC3">
          <w:instrText>PAGE   \* MERGEFORMAT</w:instrText>
        </w:r>
        <w:r w:rsidR="00977EC3">
          <w:fldChar w:fldCharType="separate"/>
        </w:r>
        <w:r w:rsidR="00977EC3">
          <w:t>1</w:t>
        </w:r>
        <w:r w:rsidR="00977EC3">
          <w:fldChar w:fldCharType="end"/>
        </w:r>
        <w:r w:rsidR="00977EC3">
          <w:t xml:space="preserve"> (celkem 4</w:t>
        </w:r>
        <w:r w:rsidR="00441E7E">
          <w:t>)</w:t>
        </w:r>
      </w:p>
    </w:sdtContent>
  </w:sdt>
  <w:p w14:paraId="5F2EFA64" w14:textId="77777777" w:rsidR="005B03C9" w:rsidRDefault="005B03C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21B7" w14:textId="77777777" w:rsidR="00873596" w:rsidRDefault="00873596" w:rsidP="0018303A">
      <w:pPr>
        <w:spacing w:line="240" w:lineRule="auto"/>
      </w:pPr>
      <w:r>
        <w:separator/>
      </w:r>
    </w:p>
  </w:footnote>
  <w:footnote w:type="continuationSeparator" w:id="0">
    <w:p w14:paraId="62D6C397" w14:textId="77777777" w:rsidR="00873596" w:rsidRDefault="00873596" w:rsidP="001830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3434" w14:textId="77777777" w:rsidR="005B03C9" w:rsidRDefault="005B03C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EF08" w14:textId="77777777" w:rsidR="00A627EC" w:rsidRPr="000C68B3" w:rsidRDefault="00A627EC" w:rsidP="00F432C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7C3D2044" w14:textId="30791653" w:rsidR="00A627EC" w:rsidRDefault="00A627EC" w:rsidP="00F432C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>Příloha</w:t>
    </w:r>
  </w:p>
  <w:p w14:paraId="6ED6A54C" w14:textId="46ED1708" w:rsidR="00A627EC" w:rsidRPr="000C68B3" w:rsidRDefault="00A627EC" w:rsidP="00F432CC">
    <w:pPr>
      <w:pStyle w:val="Zhlav"/>
      <w:pBdr>
        <w:bottom w:val="single" w:sz="4" w:space="1" w:color="auto"/>
      </w:pBdr>
      <w:ind w:left="0"/>
      <w:rPr>
        <w:color w:val="0D0D0D" w:themeColor="text1" w:themeTint="F2"/>
        <w:sz w:val="16"/>
        <w:szCs w:val="16"/>
      </w:rPr>
    </w:pPr>
    <w:r w:rsidRPr="00F866BB">
      <w:rPr>
        <w:bCs/>
        <w:sz w:val="16"/>
        <w:szCs w:val="16"/>
      </w:rPr>
      <w:t xml:space="preserve">nařízení č. </w:t>
    </w:r>
    <w:r w:rsidR="0079243E">
      <w:rPr>
        <w:bCs/>
        <w:sz w:val="16"/>
        <w:szCs w:val="16"/>
      </w:rPr>
      <w:t>23</w:t>
    </w:r>
    <w:r w:rsidRPr="00F866BB">
      <w:rPr>
        <w:bCs/>
        <w:sz w:val="16"/>
        <w:szCs w:val="16"/>
      </w:rPr>
      <w:t>/2026,</w:t>
    </w:r>
    <w:r w:rsidRPr="000C68B3">
      <w:rPr>
        <w:b/>
        <w:sz w:val="16"/>
        <w:szCs w:val="16"/>
      </w:rPr>
      <w:t xml:space="preserve"> </w:t>
    </w:r>
    <w:r w:rsidRPr="002919DB">
      <w:rPr>
        <w:bCs/>
        <w:sz w:val="16"/>
        <w:szCs w:val="16"/>
      </w:rPr>
      <w:t xml:space="preserve">kterým se mění nařízení statutárního města Brna č. </w:t>
    </w:r>
    <w:r w:rsidRPr="00477ED5">
      <w:rPr>
        <w:bCs/>
        <w:sz w:val="16"/>
        <w:szCs w:val="16"/>
      </w:rPr>
      <w:t>14/2024 o požadavcích na výstavbu ve statutárním městě Brně (brněnské stavební předpisy)</w:t>
    </w:r>
  </w:p>
  <w:p w14:paraId="3B9058EF" w14:textId="77777777" w:rsidR="00A627EC" w:rsidRDefault="00A627E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F1B5" w14:textId="77777777" w:rsidR="002F4A93" w:rsidRDefault="002F4A93" w:rsidP="002F4A93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18246C72" w14:textId="7F654585" w:rsidR="002F4A93" w:rsidRPr="000C68B3" w:rsidRDefault="002F4A93" w:rsidP="002F4A93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 xml:space="preserve">Příloha </w:t>
    </w:r>
  </w:p>
  <w:p w14:paraId="48611406" w14:textId="4EDB213E" w:rsidR="002F4A93" w:rsidRPr="00F866BB" w:rsidRDefault="00DC2565" w:rsidP="002F4A93">
    <w:pPr>
      <w:pStyle w:val="Zhlav"/>
      <w:pBdr>
        <w:bottom w:val="single" w:sz="4" w:space="1" w:color="auto"/>
      </w:pBdr>
      <w:ind w:left="0"/>
      <w:rPr>
        <w:bCs/>
        <w:color w:val="0D0D0D" w:themeColor="text1" w:themeTint="F2"/>
        <w:sz w:val="16"/>
        <w:szCs w:val="16"/>
      </w:rPr>
    </w:pPr>
    <w:r w:rsidRPr="00F866BB">
      <w:rPr>
        <w:bCs/>
        <w:sz w:val="16"/>
        <w:szCs w:val="16"/>
      </w:rPr>
      <w:t>n</w:t>
    </w:r>
    <w:r w:rsidR="002F4A93" w:rsidRPr="00F866BB">
      <w:rPr>
        <w:bCs/>
        <w:sz w:val="16"/>
        <w:szCs w:val="16"/>
      </w:rPr>
      <w:t>ařízení</w:t>
    </w:r>
    <w:r w:rsidR="005D25A2" w:rsidRPr="00F866BB">
      <w:rPr>
        <w:bCs/>
        <w:sz w:val="16"/>
        <w:szCs w:val="16"/>
      </w:rPr>
      <w:t xml:space="preserve"> č. </w:t>
    </w:r>
    <w:r w:rsidR="0079243E">
      <w:rPr>
        <w:bCs/>
        <w:sz w:val="16"/>
        <w:szCs w:val="16"/>
      </w:rPr>
      <w:t>23</w:t>
    </w:r>
    <w:r w:rsidR="005D25A2" w:rsidRPr="00F866BB">
      <w:rPr>
        <w:bCs/>
        <w:sz w:val="16"/>
        <w:szCs w:val="16"/>
      </w:rPr>
      <w:t>/2026</w:t>
    </w:r>
    <w:r w:rsidR="002F4A93" w:rsidRPr="00F866BB">
      <w:rPr>
        <w:bCs/>
        <w:sz w:val="16"/>
        <w:szCs w:val="16"/>
      </w:rPr>
      <w:t xml:space="preserve">, kterým se mění nařízení statutárního města Brna č. 14/2024 o požadavcích na výstavbu ve statutárním městě Brně (brněnské stavební předpisy) </w:t>
    </w:r>
  </w:p>
  <w:p w14:paraId="0DC310C4" w14:textId="77777777" w:rsidR="00FA2447" w:rsidRPr="002F4A93" w:rsidRDefault="00FA2447" w:rsidP="002F4A9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2CA1"/>
    <w:multiLevelType w:val="hybridMultilevel"/>
    <w:tmpl w:val="BAD88C82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3D6E89"/>
    <w:multiLevelType w:val="hybridMultilevel"/>
    <w:tmpl w:val="A3102B96"/>
    <w:lvl w:ilvl="0" w:tplc="93AE0B48">
      <w:start w:val="1"/>
      <w:numFmt w:val="decimal"/>
      <w:lvlText w:val="(%1)"/>
      <w:lvlJc w:val="left"/>
      <w:pPr>
        <w:ind w:left="42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40510D"/>
    <w:multiLevelType w:val="hybridMultilevel"/>
    <w:tmpl w:val="4C7A690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A6342"/>
    <w:multiLevelType w:val="hybridMultilevel"/>
    <w:tmpl w:val="30F226E8"/>
    <w:lvl w:ilvl="0" w:tplc="4E8822B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114A22"/>
    <w:multiLevelType w:val="hybridMultilevel"/>
    <w:tmpl w:val="41026EC2"/>
    <w:lvl w:ilvl="0" w:tplc="466E42DA">
      <w:start w:val="1"/>
      <w:numFmt w:val="decimal"/>
      <w:lvlText w:val="(%1)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57CB3"/>
    <w:multiLevelType w:val="hybridMultilevel"/>
    <w:tmpl w:val="4896310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F71064"/>
    <w:multiLevelType w:val="hybridMultilevel"/>
    <w:tmpl w:val="073838E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A2077"/>
    <w:multiLevelType w:val="hybridMultilevel"/>
    <w:tmpl w:val="CFD25394"/>
    <w:lvl w:ilvl="0" w:tplc="4446BB02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1C0E0D30"/>
    <w:multiLevelType w:val="hybridMultilevel"/>
    <w:tmpl w:val="4EC41F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4E3BEC"/>
    <w:multiLevelType w:val="hybridMultilevel"/>
    <w:tmpl w:val="2574332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2633CE"/>
    <w:multiLevelType w:val="hybridMultilevel"/>
    <w:tmpl w:val="AF167C90"/>
    <w:lvl w:ilvl="0" w:tplc="466E42DA">
      <w:start w:val="1"/>
      <w:numFmt w:val="decimal"/>
      <w:lvlText w:val="(%1)"/>
      <w:lvlJc w:val="left"/>
      <w:pPr>
        <w:ind w:left="3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F454F76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944E640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ED62C5"/>
    <w:multiLevelType w:val="hybridMultilevel"/>
    <w:tmpl w:val="F18AF43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86B01"/>
    <w:multiLevelType w:val="hybridMultilevel"/>
    <w:tmpl w:val="99EED1D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D80004"/>
    <w:multiLevelType w:val="hybridMultilevel"/>
    <w:tmpl w:val="C71E8038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9FD7963"/>
    <w:multiLevelType w:val="hybridMultilevel"/>
    <w:tmpl w:val="3BCA389A"/>
    <w:lvl w:ilvl="0" w:tplc="93AE0B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D4203"/>
    <w:multiLevelType w:val="hybridMultilevel"/>
    <w:tmpl w:val="6158EFE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D3927"/>
    <w:multiLevelType w:val="hybridMultilevel"/>
    <w:tmpl w:val="DF5C7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226F2"/>
    <w:multiLevelType w:val="hybridMultilevel"/>
    <w:tmpl w:val="7158AB6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2E5BAC"/>
    <w:multiLevelType w:val="hybridMultilevel"/>
    <w:tmpl w:val="2988CE40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1305A"/>
    <w:multiLevelType w:val="hybridMultilevel"/>
    <w:tmpl w:val="6D12BC60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825216C"/>
    <w:multiLevelType w:val="hybridMultilevel"/>
    <w:tmpl w:val="DD9E8B3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FB3346"/>
    <w:multiLevelType w:val="hybridMultilevel"/>
    <w:tmpl w:val="7D5C95B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912C3F"/>
    <w:multiLevelType w:val="hybridMultilevel"/>
    <w:tmpl w:val="E4927414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B30D8"/>
    <w:multiLevelType w:val="hybridMultilevel"/>
    <w:tmpl w:val="C71E8038"/>
    <w:lvl w:ilvl="0" w:tplc="9BFEF2A4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02C10B6"/>
    <w:multiLevelType w:val="hybridMultilevel"/>
    <w:tmpl w:val="6E4CBC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D5200"/>
    <w:multiLevelType w:val="hybridMultilevel"/>
    <w:tmpl w:val="03E490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3054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6B6A7A"/>
    <w:multiLevelType w:val="hybridMultilevel"/>
    <w:tmpl w:val="53AEC8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2794D0D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4E3050"/>
    <w:multiLevelType w:val="hybridMultilevel"/>
    <w:tmpl w:val="5B6A5D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3D2B74"/>
    <w:multiLevelType w:val="hybridMultilevel"/>
    <w:tmpl w:val="53A2DFC2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4F5C3D04"/>
    <w:multiLevelType w:val="hybridMultilevel"/>
    <w:tmpl w:val="24589CC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A37087"/>
    <w:multiLevelType w:val="hybridMultilevel"/>
    <w:tmpl w:val="5D8ADCF4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D70E07"/>
    <w:multiLevelType w:val="hybridMultilevel"/>
    <w:tmpl w:val="CF44E0FA"/>
    <w:lvl w:ilvl="0" w:tplc="920C79D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174FFE"/>
    <w:multiLevelType w:val="hybridMultilevel"/>
    <w:tmpl w:val="EE54B65A"/>
    <w:lvl w:ilvl="0" w:tplc="93AE0B48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57366DB7"/>
    <w:multiLevelType w:val="hybridMultilevel"/>
    <w:tmpl w:val="A224F0F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07CCD"/>
    <w:multiLevelType w:val="hybridMultilevel"/>
    <w:tmpl w:val="2A123A5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203F65"/>
    <w:multiLevelType w:val="hybridMultilevel"/>
    <w:tmpl w:val="367A69AA"/>
    <w:lvl w:ilvl="0" w:tplc="5D749CBA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5F323C29"/>
    <w:multiLevelType w:val="hybridMultilevel"/>
    <w:tmpl w:val="82B6047A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91370B"/>
    <w:multiLevelType w:val="hybridMultilevel"/>
    <w:tmpl w:val="1CE879EE"/>
    <w:lvl w:ilvl="0" w:tplc="93AE0B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8166F1"/>
    <w:multiLevelType w:val="hybridMultilevel"/>
    <w:tmpl w:val="F1EEDD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80B1A"/>
    <w:multiLevelType w:val="hybridMultilevel"/>
    <w:tmpl w:val="0C44C7F6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FC774B"/>
    <w:multiLevelType w:val="hybridMultilevel"/>
    <w:tmpl w:val="9CE6891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22638F"/>
    <w:multiLevelType w:val="hybridMultilevel"/>
    <w:tmpl w:val="84460BA4"/>
    <w:lvl w:ilvl="0" w:tplc="93AE0B48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3B54A3C"/>
    <w:multiLevelType w:val="hybridMultilevel"/>
    <w:tmpl w:val="4996914E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F519AF"/>
    <w:multiLevelType w:val="hybridMultilevel"/>
    <w:tmpl w:val="0838B1E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C310EF"/>
    <w:multiLevelType w:val="hybridMultilevel"/>
    <w:tmpl w:val="A586A0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C3746D"/>
    <w:multiLevelType w:val="hybridMultilevel"/>
    <w:tmpl w:val="829ABBBC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4B1268"/>
    <w:multiLevelType w:val="hybridMultilevel"/>
    <w:tmpl w:val="A6BCE61A"/>
    <w:lvl w:ilvl="0" w:tplc="04050017">
      <w:start w:val="1"/>
      <w:numFmt w:val="lowerLetter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8" w15:restartNumberingAfterBreak="0">
    <w:nsid w:val="7DA1621A"/>
    <w:multiLevelType w:val="hybridMultilevel"/>
    <w:tmpl w:val="7BCCB732"/>
    <w:lvl w:ilvl="0" w:tplc="93AE0B4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196700">
    <w:abstractNumId w:val="25"/>
  </w:num>
  <w:num w:numId="2" w16cid:durableId="1189369145">
    <w:abstractNumId w:val="14"/>
  </w:num>
  <w:num w:numId="3" w16cid:durableId="254099826">
    <w:abstractNumId w:val="42"/>
  </w:num>
  <w:num w:numId="4" w16cid:durableId="404113878">
    <w:abstractNumId w:val="32"/>
  </w:num>
  <w:num w:numId="5" w16cid:durableId="317610368">
    <w:abstractNumId w:val="37"/>
  </w:num>
  <w:num w:numId="6" w16cid:durableId="2130272437">
    <w:abstractNumId w:val="29"/>
  </w:num>
  <w:num w:numId="7" w16cid:durableId="354696901">
    <w:abstractNumId w:val="0"/>
  </w:num>
  <w:num w:numId="8" w16cid:durableId="842086084">
    <w:abstractNumId w:val="15"/>
  </w:num>
  <w:num w:numId="9" w16cid:durableId="1426226517">
    <w:abstractNumId w:val="46"/>
  </w:num>
  <w:num w:numId="10" w16cid:durableId="387849367">
    <w:abstractNumId w:val="30"/>
  </w:num>
  <w:num w:numId="11" w16cid:durableId="1571698236">
    <w:abstractNumId w:val="20"/>
  </w:num>
  <w:num w:numId="12" w16cid:durableId="377975426">
    <w:abstractNumId w:val="31"/>
  </w:num>
  <w:num w:numId="13" w16cid:durableId="426850980">
    <w:abstractNumId w:val="39"/>
  </w:num>
  <w:num w:numId="14" w16cid:durableId="861550947">
    <w:abstractNumId w:val="27"/>
  </w:num>
  <w:num w:numId="15" w16cid:durableId="1451851631">
    <w:abstractNumId w:val="19"/>
  </w:num>
  <w:num w:numId="16" w16cid:durableId="445194806">
    <w:abstractNumId w:val="21"/>
  </w:num>
  <w:num w:numId="17" w16cid:durableId="113521363">
    <w:abstractNumId w:val="6"/>
  </w:num>
  <w:num w:numId="18" w16cid:durableId="461584239">
    <w:abstractNumId w:val="41"/>
  </w:num>
  <w:num w:numId="19" w16cid:durableId="1234395515">
    <w:abstractNumId w:val="40"/>
  </w:num>
  <w:num w:numId="20" w16cid:durableId="876506893">
    <w:abstractNumId w:val="47"/>
  </w:num>
  <w:num w:numId="21" w16cid:durableId="2067757646">
    <w:abstractNumId w:val="2"/>
  </w:num>
  <w:num w:numId="22" w16cid:durableId="572542987">
    <w:abstractNumId w:val="18"/>
  </w:num>
  <w:num w:numId="23" w16cid:durableId="1434591573">
    <w:abstractNumId w:val="17"/>
  </w:num>
  <w:num w:numId="24" w16cid:durableId="99690106">
    <w:abstractNumId w:val="34"/>
  </w:num>
  <w:num w:numId="25" w16cid:durableId="2100327235">
    <w:abstractNumId w:val="5"/>
  </w:num>
  <w:num w:numId="26" w16cid:durableId="1765298511">
    <w:abstractNumId w:val="1"/>
  </w:num>
  <w:num w:numId="27" w16cid:durableId="846940432">
    <w:abstractNumId w:val="9"/>
  </w:num>
  <w:num w:numId="28" w16cid:durableId="1004866926">
    <w:abstractNumId w:val="48"/>
  </w:num>
  <w:num w:numId="29" w16cid:durableId="469136654">
    <w:abstractNumId w:val="43"/>
  </w:num>
  <w:num w:numId="30" w16cid:durableId="1847357644">
    <w:abstractNumId w:val="8"/>
  </w:num>
  <w:num w:numId="31" w16cid:durableId="1276523294">
    <w:abstractNumId w:val="11"/>
  </w:num>
  <w:num w:numId="32" w16cid:durableId="650257511">
    <w:abstractNumId w:val="33"/>
  </w:num>
  <w:num w:numId="33" w16cid:durableId="1535775906">
    <w:abstractNumId w:val="35"/>
  </w:num>
  <w:num w:numId="34" w16cid:durableId="1099912942">
    <w:abstractNumId w:val="38"/>
  </w:num>
  <w:num w:numId="35" w16cid:durableId="1581478083">
    <w:abstractNumId w:val="26"/>
  </w:num>
  <w:num w:numId="36" w16cid:durableId="84156446">
    <w:abstractNumId w:val="23"/>
    <w:lvlOverride w:ilvl="0">
      <w:startOverride w:val="1"/>
    </w:lvlOverride>
  </w:num>
  <w:num w:numId="37" w16cid:durableId="687147065">
    <w:abstractNumId w:val="12"/>
  </w:num>
  <w:num w:numId="38" w16cid:durableId="2028561852">
    <w:abstractNumId w:val="24"/>
  </w:num>
  <w:num w:numId="39" w16cid:durableId="273901203">
    <w:abstractNumId w:val="3"/>
  </w:num>
  <w:num w:numId="40" w16cid:durableId="981663784">
    <w:abstractNumId w:val="16"/>
  </w:num>
  <w:num w:numId="41" w16cid:durableId="369382059">
    <w:abstractNumId w:val="22"/>
  </w:num>
  <w:num w:numId="42" w16cid:durableId="415639225">
    <w:abstractNumId w:val="36"/>
  </w:num>
  <w:num w:numId="43" w16cid:durableId="1045568312">
    <w:abstractNumId w:val="13"/>
  </w:num>
  <w:num w:numId="44" w16cid:durableId="312832255">
    <w:abstractNumId w:val="4"/>
  </w:num>
  <w:num w:numId="45" w16cid:durableId="83652829">
    <w:abstractNumId w:val="10"/>
  </w:num>
  <w:num w:numId="46" w16cid:durableId="640578438">
    <w:abstractNumId w:val="7"/>
  </w:num>
  <w:num w:numId="47" w16cid:durableId="29376695">
    <w:abstractNumId w:val="45"/>
  </w:num>
  <w:num w:numId="48" w16cid:durableId="1058092161">
    <w:abstractNumId w:val="44"/>
  </w:num>
  <w:num w:numId="49" w16cid:durableId="163702927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removePersonalInformation/>
  <w:removeDateAndTime/>
  <w:defaultTabStop w:val="567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AC"/>
    <w:rsid w:val="00000324"/>
    <w:rsid w:val="00003C21"/>
    <w:rsid w:val="0001196B"/>
    <w:rsid w:val="00016148"/>
    <w:rsid w:val="00016290"/>
    <w:rsid w:val="00022882"/>
    <w:rsid w:val="0002360D"/>
    <w:rsid w:val="000244C4"/>
    <w:rsid w:val="000259B7"/>
    <w:rsid w:val="00041778"/>
    <w:rsid w:val="000455D4"/>
    <w:rsid w:val="00052C50"/>
    <w:rsid w:val="00056805"/>
    <w:rsid w:val="00057CCA"/>
    <w:rsid w:val="000733A8"/>
    <w:rsid w:val="00075609"/>
    <w:rsid w:val="00077C50"/>
    <w:rsid w:val="00080FC5"/>
    <w:rsid w:val="00087C71"/>
    <w:rsid w:val="00090EF3"/>
    <w:rsid w:val="0009682D"/>
    <w:rsid w:val="000969BD"/>
    <w:rsid w:val="00097943"/>
    <w:rsid w:val="000A10C0"/>
    <w:rsid w:val="000A750B"/>
    <w:rsid w:val="000B3603"/>
    <w:rsid w:val="000C1082"/>
    <w:rsid w:val="000C4AC3"/>
    <w:rsid w:val="000C68B3"/>
    <w:rsid w:val="000D1366"/>
    <w:rsid w:val="000D2C53"/>
    <w:rsid w:val="000D42A9"/>
    <w:rsid w:val="000E6162"/>
    <w:rsid w:val="000F4DE9"/>
    <w:rsid w:val="000F5FB5"/>
    <w:rsid w:val="000F6184"/>
    <w:rsid w:val="000F7CEF"/>
    <w:rsid w:val="00107BF4"/>
    <w:rsid w:val="00111CA3"/>
    <w:rsid w:val="00117CA9"/>
    <w:rsid w:val="001211DC"/>
    <w:rsid w:val="001225C2"/>
    <w:rsid w:val="00124100"/>
    <w:rsid w:val="00135199"/>
    <w:rsid w:val="00135732"/>
    <w:rsid w:val="00142BC0"/>
    <w:rsid w:val="00150DCB"/>
    <w:rsid w:val="00155AAD"/>
    <w:rsid w:val="00157328"/>
    <w:rsid w:val="001640B4"/>
    <w:rsid w:val="00173D9F"/>
    <w:rsid w:val="001757B0"/>
    <w:rsid w:val="0018303A"/>
    <w:rsid w:val="00186317"/>
    <w:rsid w:val="00187293"/>
    <w:rsid w:val="00192F42"/>
    <w:rsid w:val="00193D0F"/>
    <w:rsid w:val="001D307A"/>
    <w:rsid w:val="001D4C16"/>
    <w:rsid w:val="001E6F1C"/>
    <w:rsid w:val="001F1299"/>
    <w:rsid w:val="001F2FBD"/>
    <w:rsid w:val="001F64ED"/>
    <w:rsid w:val="002102BF"/>
    <w:rsid w:val="00210F43"/>
    <w:rsid w:val="002150EC"/>
    <w:rsid w:val="0021766F"/>
    <w:rsid w:val="00222854"/>
    <w:rsid w:val="00223205"/>
    <w:rsid w:val="002303D0"/>
    <w:rsid w:val="002315C3"/>
    <w:rsid w:val="00236508"/>
    <w:rsid w:val="0023653D"/>
    <w:rsid w:val="00240AD8"/>
    <w:rsid w:val="002452CE"/>
    <w:rsid w:val="00254C80"/>
    <w:rsid w:val="002661FA"/>
    <w:rsid w:val="00271D76"/>
    <w:rsid w:val="0027257F"/>
    <w:rsid w:val="00273ADC"/>
    <w:rsid w:val="00273F30"/>
    <w:rsid w:val="0027572A"/>
    <w:rsid w:val="00277B48"/>
    <w:rsid w:val="00280549"/>
    <w:rsid w:val="002807FA"/>
    <w:rsid w:val="00282232"/>
    <w:rsid w:val="00284095"/>
    <w:rsid w:val="002866D2"/>
    <w:rsid w:val="00286AC5"/>
    <w:rsid w:val="00287D91"/>
    <w:rsid w:val="002919DB"/>
    <w:rsid w:val="00293357"/>
    <w:rsid w:val="00293453"/>
    <w:rsid w:val="00294668"/>
    <w:rsid w:val="002947C6"/>
    <w:rsid w:val="0029612F"/>
    <w:rsid w:val="002A761C"/>
    <w:rsid w:val="002B74D0"/>
    <w:rsid w:val="002C01E6"/>
    <w:rsid w:val="002C07AE"/>
    <w:rsid w:val="002C439D"/>
    <w:rsid w:val="002D0AA7"/>
    <w:rsid w:val="002D0D4B"/>
    <w:rsid w:val="002D217A"/>
    <w:rsid w:val="002D67CB"/>
    <w:rsid w:val="002D77AF"/>
    <w:rsid w:val="002D7BAA"/>
    <w:rsid w:val="002E5B2E"/>
    <w:rsid w:val="002E6903"/>
    <w:rsid w:val="002F0AAA"/>
    <w:rsid w:val="002F0FCE"/>
    <w:rsid w:val="002F4A93"/>
    <w:rsid w:val="002F4D7B"/>
    <w:rsid w:val="002F62BE"/>
    <w:rsid w:val="002F634F"/>
    <w:rsid w:val="002F68EA"/>
    <w:rsid w:val="003026FB"/>
    <w:rsid w:val="00310353"/>
    <w:rsid w:val="003112AA"/>
    <w:rsid w:val="00312078"/>
    <w:rsid w:val="0031425E"/>
    <w:rsid w:val="00314FA6"/>
    <w:rsid w:val="003206AA"/>
    <w:rsid w:val="00323379"/>
    <w:rsid w:val="00323469"/>
    <w:rsid w:val="00325A40"/>
    <w:rsid w:val="0033354E"/>
    <w:rsid w:val="00341879"/>
    <w:rsid w:val="003420FD"/>
    <w:rsid w:val="00344347"/>
    <w:rsid w:val="0034696C"/>
    <w:rsid w:val="00346B56"/>
    <w:rsid w:val="0035015E"/>
    <w:rsid w:val="00354B34"/>
    <w:rsid w:val="003573D4"/>
    <w:rsid w:val="0036324D"/>
    <w:rsid w:val="003647FC"/>
    <w:rsid w:val="0036671E"/>
    <w:rsid w:val="003671EE"/>
    <w:rsid w:val="00371191"/>
    <w:rsid w:val="00372359"/>
    <w:rsid w:val="0037485A"/>
    <w:rsid w:val="00374E7A"/>
    <w:rsid w:val="003806E6"/>
    <w:rsid w:val="00384276"/>
    <w:rsid w:val="00385601"/>
    <w:rsid w:val="003941E2"/>
    <w:rsid w:val="00394ABF"/>
    <w:rsid w:val="00397962"/>
    <w:rsid w:val="003A3F6A"/>
    <w:rsid w:val="003B079F"/>
    <w:rsid w:val="003B1F58"/>
    <w:rsid w:val="003B398C"/>
    <w:rsid w:val="003B3F57"/>
    <w:rsid w:val="003B4BE0"/>
    <w:rsid w:val="003B6C9B"/>
    <w:rsid w:val="003C1E18"/>
    <w:rsid w:val="003C367C"/>
    <w:rsid w:val="003D0F32"/>
    <w:rsid w:val="003D5A7B"/>
    <w:rsid w:val="003E3059"/>
    <w:rsid w:val="003E3FFA"/>
    <w:rsid w:val="003F3B4E"/>
    <w:rsid w:val="003F44A5"/>
    <w:rsid w:val="003F6658"/>
    <w:rsid w:val="00404858"/>
    <w:rsid w:val="0040639D"/>
    <w:rsid w:val="004121F2"/>
    <w:rsid w:val="00416897"/>
    <w:rsid w:val="00417180"/>
    <w:rsid w:val="0041752D"/>
    <w:rsid w:val="00422071"/>
    <w:rsid w:val="00434035"/>
    <w:rsid w:val="004340AE"/>
    <w:rsid w:val="004373EA"/>
    <w:rsid w:val="00441973"/>
    <w:rsid w:val="00441E7E"/>
    <w:rsid w:val="004442AC"/>
    <w:rsid w:val="004469DD"/>
    <w:rsid w:val="0045274B"/>
    <w:rsid w:val="00453A7E"/>
    <w:rsid w:val="00457A2F"/>
    <w:rsid w:val="00466508"/>
    <w:rsid w:val="0047006D"/>
    <w:rsid w:val="0047470D"/>
    <w:rsid w:val="00477ED5"/>
    <w:rsid w:val="0049124F"/>
    <w:rsid w:val="00491937"/>
    <w:rsid w:val="00494DF4"/>
    <w:rsid w:val="00496505"/>
    <w:rsid w:val="004A1130"/>
    <w:rsid w:val="004B34F0"/>
    <w:rsid w:val="004B78E4"/>
    <w:rsid w:val="004C0296"/>
    <w:rsid w:val="004C0812"/>
    <w:rsid w:val="004C3678"/>
    <w:rsid w:val="004C40AC"/>
    <w:rsid w:val="004D02A3"/>
    <w:rsid w:val="004D35D1"/>
    <w:rsid w:val="004D5F8F"/>
    <w:rsid w:val="004D6D3C"/>
    <w:rsid w:val="004D7AF7"/>
    <w:rsid w:val="004E16B6"/>
    <w:rsid w:val="004E1768"/>
    <w:rsid w:val="004E47D5"/>
    <w:rsid w:val="004E6BF0"/>
    <w:rsid w:val="004E6E85"/>
    <w:rsid w:val="004F5171"/>
    <w:rsid w:val="005007F8"/>
    <w:rsid w:val="00512E24"/>
    <w:rsid w:val="005143E0"/>
    <w:rsid w:val="005263E9"/>
    <w:rsid w:val="00527656"/>
    <w:rsid w:val="00527680"/>
    <w:rsid w:val="00532607"/>
    <w:rsid w:val="0053460A"/>
    <w:rsid w:val="00537F35"/>
    <w:rsid w:val="00542A3D"/>
    <w:rsid w:val="005529A5"/>
    <w:rsid w:val="0055438A"/>
    <w:rsid w:val="00555F39"/>
    <w:rsid w:val="00557A5C"/>
    <w:rsid w:val="0056358B"/>
    <w:rsid w:val="00565C27"/>
    <w:rsid w:val="0057017D"/>
    <w:rsid w:val="0057394C"/>
    <w:rsid w:val="00576515"/>
    <w:rsid w:val="00576905"/>
    <w:rsid w:val="0057763F"/>
    <w:rsid w:val="005801A5"/>
    <w:rsid w:val="0059010D"/>
    <w:rsid w:val="00594D55"/>
    <w:rsid w:val="005962CD"/>
    <w:rsid w:val="005970EE"/>
    <w:rsid w:val="005A07E3"/>
    <w:rsid w:val="005A12C6"/>
    <w:rsid w:val="005A35B7"/>
    <w:rsid w:val="005A3D3B"/>
    <w:rsid w:val="005A5971"/>
    <w:rsid w:val="005B03C9"/>
    <w:rsid w:val="005B57AF"/>
    <w:rsid w:val="005C0A44"/>
    <w:rsid w:val="005C2AE9"/>
    <w:rsid w:val="005C4D33"/>
    <w:rsid w:val="005C5E27"/>
    <w:rsid w:val="005D25A2"/>
    <w:rsid w:val="005E7F07"/>
    <w:rsid w:val="005F2319"/>
    <w:rsid w:val="005F4693"/>
    <w:rsid w:val="005F722E"/>
    <w:rsid w:val="00604DCD"/>
    <w:rsid w:val="0061095E"/>
    <w:rsid w:val="00615032"/>
    <w:rsid w:val="006257D1"/>
    <w:rsid w:val="00633379"/>
    <w:rsid w:val="0063447C"/>
    <w:rsid w:val="00642A4F"/>
    <w:rsid w:val="0065047E"/>
    <w:rsid w:val="00653E1B"/>
    <w:rsid w:val="006543BD"/>
    <w:rsid w:val="00656404"/>
    <w:rsid w:val="006567FF"/>
    <w:rsid w:val="006579C8"/>
    <w:rsid w:val="00665145"/>
    <w:rsid w:val="006662A9"/>
    <w:rsid w:val="006752BF"/>
    <w:rsid w:val="0067730A"/>
    <w:rsid w:val="00681FBB"/>
    <w:rsid w:val="006855E6"/>
    <w:rsid w:val="006A3932"/>
    <w:rsid w:val="006A5679"/>
    <w:rsid w:val="006A6F99"/>
    <w:rsid w:val="006B292F"/>
    <w:rsid w:val="006B7019"/>
    <w:rsid w:val="006C1195"/>
    <w:rsid w:val="006C2028"/>
    <w:rsid w:val="006C2817"/>
    <w:rsid w:val="006C35B2"/>
    <w:rsid w:val="006C674D"/>
    <w:rsid w:val="006D07C2"/>
    <w:rsid w:val="006D1682"/>
    <w:rsid w:val="006E118A"/>
    <w:rsid w:val="006E287A"/>
    <w:rsid w:val="006E4D79"/>
    <w:rsid w:val="006F3E7A"/>
    <w:rsid w:val="006F456C"/>
    <w:rsid w:val="006F6019"/>
    <w:rsid w:val="006F6526"/>
    <w:rsid w:val="006F7A44"/>
    <w:rsid w:val="00701923"/>
    <w:rsid w:val="00702EBF"/>
    <w:rsid w:val="00704E7F"/>
    <w:rsid w:val="00711749"/>
    <w:rsid w:val="00717AF3"/>
    <w:rsid w:val="00717FC6"/>
    <w:rsid w:val="00723EBD"/>
    <w:rsid w:val="00724D85"/>
    <w:rsid w:val="007252E2"/>
    <w:rsid w:val="007258FC"/>
    <w:rsid w:val="00725CE2"/>
    <w:rsid w:val="00725F7C"/>
    <w:rsid w:val="00726E68"/>
    <w:rsid w:val="00727D62"/>
    <w:rsid w:val="007312E5"/>
    <w:rsid w:val="00732D1F"/>
    <w:rsid w:val="00735744"/>
    <w:rsid w:val="00737930"/>
    <w:rsid w:val="007428CA"/>
    <w:rsid w:val="00750A1E"/>
    <w:rsid w:val="00750CB1"/>
    <w:rsid w:val="00750FC1"/>
    <w:rsid w:val="007515C4"/>
    <w:rsid w:val="00752B42"/>
    <w:rsid w:val="00753DA6"/>
    <w:rsid w:val="00757108"/>
    <w:rsid w:val="007578D8"/>
    <w:rsid w:val="00766C83"/>
    <w:rsid w:val="00767B57"/>
    <w:rsid w:val="007719F5"/>
    <w:rsid w:val="00772238"/>
    <w:rsid w:val="00773BEA"/>
    <w:rsid w:val="0079243E"/>
    <w:rsid w:val="007A02E2"/>
    <w:rsid w:val="007A5F9A"/>
    <w:rsid w:val="007B2CD3"/>
    <w:rsid w:val="007B7459"/>
    <w:rsid w:val="007C04D9"/>
    <w:rsid w:val="007C1D48"/>
    <w:rsid w:val="007C455F"/>
    <w:rsid w:val="007C51EA"/>
    <w:rsid w:val="007C5625"/>
    <w:rsid w:val="007C5DCA"/>
    <w:rsid w:val="007D495F"/>
    <w:rsid w:val="007D6674"/>
    <w:rsid w:val="007D7D4E"/>
    <w:rsid w:val="007F5E0C"/>
    <w:rsid w:val="007F784F"/>
    <w:rsid w:val="0081467F"/>
    <w:rsid w:val="008178A8"/>
    <w:rsid w:val="00820D2A"/>
    <w:rsid w:val="00822A98"/>
    <w:rsid w:val="00830FB8"/>
    <w:rsid w:val="00834986"/>
    <w:rsid w:val="00834EA9"/>
    <w:rsid w:val="0083746C"/>
    <w:rsid w:val="00837ACB"/>
    <w:rsid w:val="0084238B"/>
    <w:rsid w:val="00847327"/>
    <w:rsid w:val="008520C2"/>
    <w:rsid w:val="00852AC7"/>
    <w:rsid w:val="008538C5"/>
    <w:rsid w:val="00856934"/>
    <w:rsid w:val="00860587"/>
    <w:rsid w:val="00861D48"/>
    <w:rsid w:val="00863631"/>
    <w:rsid w:val="00866BB3"/>
    <w:rsid w:val="008713F4"/>
    <w:rsid w:val="00873596"/>
    <w:rsid w:val="008736FE"/>
    <w:rsid w:val="00874A3B"/>
    <w:rsid w:val="00875AA4"/>
    <w:rsid w:val="00876CE6"/>
    <w:rsid w:val="00881622"/>
    <w:rsid w:val="00882FB1"/>
    <w:rsid w:val="00886EAC"/>
    <w:rsid w:val="008871F7"/>
    <w:rsid w:val="008945BB"/>
    <w:rsid w:val="00897AC0"/>
    <w:rsid w:val="008A0B3F"/>
    <w:rsid w:val="008A4722"/>
    <w:rsid w:val="008A5FA7"/>
    <w:rsid w:val="008B1393"/>
    <w:rsid w:val="008B1532"/>
    <w:rsid w:val="008B19A6"/>
    <w:rsid w:val="008B303E"/>
    <w:rsid w:val="008B438D"/>
    <w:rsid w:val="008C0218"/>
    <w:rsid w:val="008C0A7C"/>
    <w:rsid w:val="008C169D"/>
    <w:rsid w:val="008C1C19"/>
    <w:rsid w:val="008C3A8B"/>
    <w:rsid w:val="008D1AEA"/>
    <w:rsid w:val="008D5479"/>
    <w:rsid w:val="008E17E1"/>
    <w:rsid w:val="008E27A9"/>
    <w:rsid w:val="008E5A49"/>
    <w:rsid w:val="008E7B36"/>
    <w:rsid w:val="008F32A8"/>
    <w:rsid w:val="00905C94"/>
    <w:rsid w:val="0091285D"/>
    <w:rsid w:val="009132D8"/>
    <w:rsid w:val="00914C65"/>
    <w:rsid w:val="00922F0A"/>
    <w:rsid w:val="00927842"/>
    <w:rsid w:val="00935066"/>
    <w:rsid w:val="00935E3E"/>
    <w:rsid w:val="009427E3"/>
    <w:rsid w:val="00942B22"/>
    <w:rsid w:val="00946EFC"/>
    <w:rsid w:val="009558C1"/>
    <w:rsid w:val="00965AB3"/>
    <w:rsid w:val="009700BF"/>
    <w:rsid w:val="00972F54"/>
    <w:rsid w:val="00974F5A"/>
    <w:rsid w:val="009764DC"/>
    <w:rsid w:val="00977EC3"/>
    <w:rsid w:val="009832F5"/>
    <w:rsid w:val="0098590D"/>
    <w:rsid w:val="009907EF"/>
    <w:rsid w:val="009945F7"/>
    <w:rsid w:val="0099601B"/>
    <w:rsid w:val="009A1A24"/>
    <w:rsid w:val="009A2C2D"/>
    <w:rsid w:val="009A564B"/>
    <w:rsid w:val="009A685B"/>
    <w:rsid w:val="009B4777"/>
    <w:rsid w:val="009C0900"/>
    <w:rsid w:val="009C259A"/>
    <w:rsid w:val="009D4F66"/>
    <w:rsid w:val="009D5C4B"/>
    <w:rsid w:val="009E33B6"/>
    <w:rsid w:val="009E3B59"/>
    <w:rsid w:val="009E67FD"/>
    <w:rsid w:val="009F05C0"/>
    <w:rsid w:val="009F4369"/>
    <w:rsid w:val="009F4AA9"/>
    <w:rsid w:val="009F60A1"/>
    <w:rsid w:val="009F6258"/>
    <w:rsid w:val="00A03063"/>
    <w:rsid w:val="00A03E51"/>
    <w:rsid w:val="00A05173"/>
    <w:rsid w:val="00A06DE4"/>
    <w:rsid w:val="00A07EDE"/>
    <w:rsid w:val="00A12F6A"/>
    <w:rsid w:val="00A134E1"/>
    <w:rsid w:val="00A16939"/>
    <w:rsid w:val="00A20E70"/>
    <w:rsid w:val="00A22431"/>
    <w:rsid w:val="00A24ED2"/>
    <w:rsid w:val="00A37435"/>
    <w:rsid w:val="00A40F50"/>
    <w:rsid w:val="00A42BDE"/>
    <w:rsid w:val="00A44507"/>
    <w:rsid w:val="00A46C6C"/>
    <w:rsid w:val="00A5161F"/>
    <w:rsid w:val="00A51A18"/>
    <w:rsid w:val="00A51E4B"/>
    <w:rsid w:val="00A525C6"/>
    <w:rsid w:val="00A56B27"/>
    <w:rsid w:val="00A6013F"/>
    <w:rsid w:val="00A627EC"/>
    <w:rsid w:val="00A65C12"/>
    <w:rsid w:val="00A75D40"/>
    <w:rsid w:val="00A86EB3"/>
    <w:rsid w:val="00A87651"/>
    <w:rsid w:val="00A8779B"/>
    <w:rsid w:val="00A967EE"/>
    <w:rsid w:val="00A976E9"/>
    <w:rsid w:val="00AA4343"/>
    <w:rsid w:val="00AA48BC"/>
    <w:rsid w:val="00AA6201"/>
    <w:rsid w:val="00AC487C"/>
    <w:rsid w:val="00AC6F23"/>
    <w:rsid w:val="00AD28C4"/>
    <w:rsid w:val="00AD4395"/>
    <w:rsid w:val="00AD46ED"/>
    <w:rsid w:val="00AD64F8"/>
    <w:rsid w:val="00AD766B"/>
    <w:rsid w:val="00AE4B06"/>
    <w:rsid w:val="00AE6DE3"/>
    <w:rsid w:val="00B0038A"/>
    <w:rsid w:val="00B00B64"/>
    <w:rsid w:val="00B049CA"/>
    <w:rsid w:val="00B12CA8"/>
    <w:rsid w:val="00B13D95"/>
    <w:rsid w:val="00B13E82"/>
    <w:rsid w:val="00B146FD"/>
    <w:rsid w:val="00B261ED"/>
    <w:rsid w:val="00B35C25"/>
    <w:rsid w:val="00B37D20"/>
    <w:rsid w:val="00B37D35"/>
    <w:rsid w:val="00B4577A"/>
    <w:rsid w:val="00B46F1F"/>
    <w:rsid w:val="00B5025E"/>
    <w:rsid w:val="00B51BCF"/>
    <w:rsid w:val="00B5407A"/>
    <w:rsid w:val="00B54285"/>
    <w:rsid w:val="00B54F0F"/>
    <w:rsid w:val="00B55D37"/>
    <w:rsid w:val="00B57F2B"/>
    <w:rsid w:val="00B601B1"/>
    <w:rsid w:val="00B612EA"/>
    <w:rsid w:val="00B63999"/>
    <w:rsid w:val="00B63CC9"/>
    <w:rsid w:val="00B64224"/>
    <w:rsid w:val="00B64384"/>
    <w:rsid w:val="00B64A76"/>
    <w:rsid w:val="00B66EF3"/>
    <w:rsid w:val="00B67CFE"/>
    <w:rsid w:val="00B725EC"/>
    <w:rsid w:val="00B748BD"/>
    <w:rsid w:val="00B74B02"/>
    <w:rsid w:val="00B75882"/>
    <w:rsid w:val="00B76C73"/>
    <w:rsid w:val="00B770D3"/>
    <w:rsid w:val="00B775E4"/>
    <w:rsid w:val="00B77F8B"/>
    <w:rsid w:val="00B83DAC"/>
    <w:rsid w:val="00BA601B"/>
    <w:rsid w:val="00BA7BA6"/>
    <w:rsid w:val="00BB442C"/>
    <w:rsid w:val="00BB5411"/>
    <w:rsid w:val="00BB682D"/>
    <w:rsid w:val="00BC373F"/>
    <w:rsid w:val="00BC55AF"/>
    <w:rsid w:val="00BC5DAD"/>
    <w:rsid w:val="00BD5392"/>
    <w:rsid w:val="00BD6AA9"/>
    <w:rsid w:val="00BD747F"/>
    <w:rsid w:val="00BD7C66"/>
    <w:rsid w:val="00BE0D19"/>
    <w:rsid w:val="00BF0980"/>
    <w:rsid w:val="00BF17A4"/>
    <w:rsid w:val="00C02FEE"/>
    <w:rsid w:val="00C04A24"/>
    <w:rsid w:val="00C0533D"/>
    <w:rsid w:val="00C1403E"/>
    <w:rsid w:val="00C17D6A"/>
    <w:rsid w:val="00C2596C"/>
    <w:rsid w:val="00C27F64"/>
    <w:rsid w:val="00C475F1"/>
    <w:rsid w:val="00C56518"/>
    <w:rsid w:val="00C56B42"/>
    <w:rsid w:val="00C67761"/>
    <w:rsid w:val="00C67A35"/>
    <w:rsid w:val="00C67B67"/>
    <w:rsid w:val="00C82F3D"/>
    <w:rsid w:val="00C84808"/>
    <w:rsid w:val="00C87432"/>
    <w:rsid w:val="00CA6FD4"/>
    <w:rsid w:val="00CB05BE"/>
    <w:rsid w:val="00CB0EF3"/>
    <w:rsid w:val="00CC2FEC"/>
    <w:rsid w:val="00CC5161"/>
    <w:rsid w:val="00CC5976"/>
    <w:rsid w:val="00CC6E90"/>
    <w:rsid w:val="00CD079B"/>
    <w:rsid w:val="00CD0D53"/>
    <w:rsid w:val="00CD6815"/>
    <w:rsid w:val="00CE1D29"/>
    <w:rsid w:val="00CE76F7"/>
    <w:rsid w:val="00CE7DDE"/>
    <w:rsid w:val="00CF4602"/>
    <w:rsid w:val="00CF6F24"/>
    <w:rsid w:val="00D04C5D"/>
    <w:rsid w:val="00D1544C"/>
    <w:rsid w:val="00D163AF"/>
    <w:rsid w:val="00D204C9"/>
    <w:rsid w:val="00D22A5A"/>
    <w:rsid w:val="00D235A4"/>
    <w:rsid w:val="00D24A2B"/>
    <w:rsid w:val="00D27DAF"/>
    <w:rsid w:val="00D30022"/>
    <w:rsid w:val="00D340B8"/>
    <w:rsid w:val="00D4094C"/>
    <w:rsid w:val="00D45CEF"/>
    <w:rsid w:val="00D4665C"/>
    <w:rsid w:val="00D46A4A"/>
    <w:rsid w:val="00D50ED2"/>
    <w:rsid w:val="00D5261F"/>
    <w:rsid w:val="00D64FE1"/>
    <w:rsid w:val="00D705FF"/>
    <w:rsid w:val="00D71414"/>
    <w:rsid w:val="00D72DE0"/>
    <w:rsid w:val="00D72E49"/>
    <w:rsid w:val="00D74072"/>
    <w:rsid w:val="00D7641F"/>
    <w:rsid w:val="00D770F9"/>
    <w:rsid w:val="00D801D9"/>
    <w:rsid w:val="00D81A3D"/>
    <w:rsid w:val="00D92BA2"/>
    <w:rsid w:val="00D9542F"/>
    <w:rsid w:val="00D9711B"/>
    <w:rsid w:val="00D97139"/>
    <w:rsid w:val="00DA14E8"/>
    <w:rsid w:val="00DA2D4D"/>
    <w:rsid w:val="00DB1BEC"/>
    <w:rsid w:val="00DB4947"/>
    <w:rsid w:val="00DB5591"/>
    <w:rsid w:val="00DC2565"/>
    <w:rsid w:val="00DC5051"/>
    <w:rsid w:val="00DD085A"/>
    <w:rsid w:val="00DD209B"/>
    <w:rsid w:val="00DD4A9C"/>
    <w:rsid w:val="00DF1B9C"/>
    <w:rsid w:val="00DF5B9B"/>
    <w:rsid w:val="00DF6C44"/>
    <w:rsid w:val="00DF6D23"/>
    <w:rsid w:val="00DF71A5"/>
    <w:rsid w:val="00DF7C2A"/>
    <w:rsid w:val="00E00249"/>
    <w:rsid w:val="00E01CBC"/>
    <w:rsid w:val="00E04875"/>
    <w:rsid w:val="00E110FA"/>
    <w:rsid w:val="00E36CB4"/>
    <w:rsid w:val="00E44D04"/>
    <w:rsid w:val="00E53D62"/>
    <w:rsid w:val="00E53F09"/>
    <w:rsid w:val="00E56EA9"/>
    <w:rsid w:val="00E65C65"/>
    <w:rsid w:val="00E73AA7"/>
    <w:rsid w:val="00E8097D"/>
    <w:rsid w:val="00E8758A"/>
    <w:rsid w:val="00E926E2"/>
    <w:rsid w:val="00E9589B"/>
    <w:rsid w:val="00EA1756"/>
    <w:rsid w:val="00EA1DBB"/>
    <w:rsid w:val="00EC1960"/>
    <w:rsid w:val="00EC5800"/>
    <w:rsid w:val="00EC7348"/>
    <w:rsid w:val="00ED1F42"/>
    <w:rsid w:val="00ED6569"/>
    <w:rsid w:val="00ED71AB"/>
    <w:rsid w:val="00EE111D"/>
    <w:rsid w:val="00EE6FAE"/>
    <w:rsid w:val="00EF31F4"/>
    <w:rsid w:val="00F0450B"/>
    <w:rsid w:val="00F0519A"/>
    <w:rsid w:val="00F07EEF"/>
    <w:rsid w:val="00F10CA8"/>
    <w:rsid w:val="00F11E51"/>
    <w:rsid w:val="00F15348"/>
    <w:rsid w:val="00F15973"/>
    <w:rsid w:val="00F23235"/>
    <w:rsid w:val="00F24742"/>
    <w:rsid w:val="00F30136"/>
    <w:rsid w:val="00F34482"/>
    <w:rsid w:val="00F34D4B"/>
    <w:rsid w:val="00F41235"/>
    <w:rsid w:val="00F432CC"/>
    <w:rsid w:val="00F450B9"/>
    <w:rsid w:val="00F451A2"/>
    <w:rsid w:val="00F46A49"/>
    <w:rsid w:val="00F46D56"/>
    <w:rsid w:val="00F46DE3"/>
    <w:rsid w:val="00F53059"/>
    <w:rsid w:val="00F53778"/>
    <w:rsid w:val="00F53D46"/>
    <w:rsid w:val="00F63215"/>
    <w:rsid w:val="00F640C6"/>
    <w:rsid w:val="00F6412B"/>
    <w:rsid w:val="00F721BD"/>
    <w:rsid w:val="00F72620"/>
    <w:rsid w:val="00F74908"/>
    <w:rsid w:val="00F81BEF"/>
    <w:rsid w:val="00F82D1B"/>
    <w:rsid w:val="00F84107"/>
    <w:rsid w:val="00F854B0"/>
    <w:rsid w:val="00F85E50"/>
    <w:rsid w:val="00F866BB"/>
    <w:rsid w:val="00F912CF"/>
    <w:rsid w:val="00F97D7C"/>
    <w:rsid w:val="00FA0A7B"/>
    <w:rsid w:val="00FA2447"/>
    <w:rsid w:val="00FA3F13"/>
    <w:rsid w:val="00FA542B"/>
    <w:rsid w:val="00FA7ADF"/>
    <w:rsid w:val="00FB1C53"/>
    <w:rsid w:val="00FB5815"/>
    <w:rsid w:val="00FB78B8"/>
    <w:rsid w:val="00FC2461"/>
    <w:rsid w:val="00FC29D0"/>
    <w:rsid w:val="00FC32AE"/>
    <w:rsid w:val="00FC4BFD"/>
    <w:rsid w:val="00FC510B"/>
    <w:rsid w:val="00FC52B7"/>
    <w:rsid w:val="00FC5380"/>
    <w:rsid w:val="00FE7F59"/>
    <w:rsid w:val="00FF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959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iPriority w:val="99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aliases w:val="Conclusion de partie,Odstavec se seznamem2,Fiche List Paragraph,Odstavec1,Dot pt,List Paragraph Char Char Char,Indicator Text,Numbered Para 1,List Paragraph à moi,Odsek zoznamu4,LISTA,Listaszerű bekezdés2,3,Nad,_Odstavec se seznamem"/>
    <w:basedOn w:val="Normln"/>
    <w:link w:val="OdstavecseseznamemChar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36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235A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235A4"/>
    <w:rPr>
      <w:rFonts w:ascii="Arial" w:hAnsi="Arial"/>
      <w:color w:val="000000" w:themeColor="text1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D764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641F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641F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64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7641F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259B7"/>
    <w:pPr>
      <w:spacing w:after="0" w:line="240" w:lineRule="auto"/>
    </w:pPr>
    <w:rPr>
      <w:rFonts w:ascii="Arial" w:hAnsi="Arial"/>
      <w:color w:val="000000" w:themeColor="text1"/>
      <w:sz w:val="20"/>
    </w:rPr>
  </w:style>
  <w:style w:type="character" w:customStyle="1" w:styleId="OdstavecseseznamemChar">
    <w:name w:val="Odstavec se seznamem Char"/>
    <w:aliases w:val="Conclusion de partie Char,Odstavec se seznamem2 Char,Fiche List Paragraph Char,Odstavec1 Char,Dot pt Char,List Paragraph Char Char Char Char,Indicator Text Char,Numbered Para 1 Char,List Paragraph à moi Char,Odsek zoznamu4 Char"/>
    <w:link w:val="Odstavecseseznamem"/>
    <w:uiPriority w:val="34"/>
    <w:qFormat/>
    <w:rsid w:val="00A8779B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4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261EE-F5D1-4CF6-9DAE-023C0C5C6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2026-10-19T09:31:00Z</dcterms:created>
  <dcterms:modified xsi:type="dcterms:W3CDTF">2026-10-20T05:05:00Z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2026-08-19T22:38:24Z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dbc9e915-7131-4e82-9174-b34f47b002ea</vt:lpwstr>
  </property>
  <property fmtid="{D5CDD505-2E9C-101B-9397-08002B2CF9AE}" pid="8" name="MSIP_Label_f15a8442-68f3-4087-8f05-d564bed44e92_ContentBits">
    <vt:lpwstr>0</vt:lpwstr>
  </property>
  <property fmtid="{D5CDD505-2E9C-101B-9397-08002B2CF9AE}" pid="9" name="MSIP_Label_f15a8442-68f3-4087-8f05-d564bed44e92_Tag">
    <vt:lpwstr>10, 3, 0, 1</vt:lpwstr>
  </property>
</Properties>
</file>