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ABB6A" w14:textId="77777777" w:rsidR="00C94CD6" w:rsidRPr="005316E5" w:rsidRDefault="00C94CD6" w:rsidP="00C94CD6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316E5">
        <w:rPr>
          <w:rFonts w:ascii="Arial" w:hAnsi="Arial" w:cs="Arial"/>
          <w:b/>
          <w:bCs/>
          <w:iCs/>
          <w:sz w:val="20"/>
          <w:szCs w:val="20"/>
        </w:rPr>
        <w:t>Město Rožnov pod Radhoštěm</w:t>
      </w:r>
    </w:p>
    <w:p w14:paraId="04A4B3AB" w14:textId="77777777" w:rsidR="00C94CD6" w:rsidRPr="005316E5" w:rsidRDefault="00C94CD6" w:rsidP="00C94CD6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8D58A6" w14:textId="77777777" w:rsidR="00C94CD6" w:rsidRPr="005316E5" w:rsidRDefault="00C94CD6" w:rsidP="00C94CD6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5316E5">
        <w:rPr>
          <w:rFonts w:ascii="Arial" w:hAnsi="Arial" w:cs="Arial"/>
          <w:b/>
          <w:bCs/>
          <w:sz w:val="20"/>
          <w:szCs w:val="20"/>
        </w:rPr>
        <w:t>Nařízení města Rožnov pod Radhoštěm</w:t>
      </w:r>
    </w:p>
    <w:p w14:paraId="728EB49D" w14:textId="77777777" w:rsidR="00C94CD6" w:rsidRPr="005316E5" w:rsidRDefault="00C94CD6" w:rsidP="00C94C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kterým se vymezují oblasti města, ve kterých lze místní komunikace nebo jejich určené úseky užít ke stání vozidla jen za sjednanou cenu</w:t>
      </w:r>
    </w:p>
    <w:p w14:paraId="67B3E2D8" w14:textId="77777777" w:rsidR="00C94CD6" w:rsidRPr="005316E5" w:rsidRDefault="00C94CD6" w:rsidP="00C94CD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126363" w14:textId="77777777" w:rsidR="00C94CD6" w:rsidRPr="005316E5" w:rsidRDefault="00C94CD6" w:rsidP="00C94CD6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5316E5">
        <w:rPr>
          <w:rFonts w:ascii="Arial" w:hAnsi="Arial" w:cs="Arial"/>
          <w:sz w:val="20"/>
          <w:szCs w:val="20"/>
        </w:rPr>
        <w:t xml:space="preserve">Rada </w:t>
      </w:r>
      <w:r w:rsidRPr="005316E5">
        <w:rPr>
          <w:rFonts w:ascii="Arial" w:hAnsi="Arial" w:cs="Arial"/>
          <w:iCs/>
          <w:sz w:val="20"/>
          <w:szCs w:val="20"/>
        </w:rPr>
        <w:t>města Rožnov pod Radhoštěm se</w:t>
      </w:r>
      <w:r w:rsidRPr="005316E5">
        <w:rPr>
          <w:rFonts w:ascii="Arial" w:hAnsi="Arial" w:cs="Arial"/>
          <w:sz w:val="20"/>
          <w:szCs w:val="20"/>
        </w:rPr>
        <w:t xml:space="preserve"> na svém zasedání dne 16. 12. 2024 usnesla vydat na základě § 23 odst. 1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5316E5">
          <w:rPr>
            <w:rFonts w:ascii="Arial" w:hAnsi="Arial" w:cs="Arial"/>
            <w:sz w:val="20"/>
            <w:szCs w:val="20"/>
          </w:rPr>
          <w:t>1 a</w:t>
        </w:r>
      </w:smartTag>
      <w:r w:rsidRPr="005316E5">
        <w:rPr>
          <w:rFonts w:ascii="Arial" w:hAnsi="Arial" w:cs="Arial"/>
          <w:sz w:val="20"/>
          <w:szCs w:val="20"/>
        </w:rPr>
        <w:t xml:space="preserve"> § 102 odst. 2 písm. d)</w:t>
      </w:r>
      <w:r w:rsidRPr="005316E5">
        <w:rPr>
          <w:rFonts w:ascii="Arial" w:hAnsi="Arial" w:cs="Arial"/>
          <w:b/>
          <w:bCs/>
          <w:i/>
          <w:color w:val="70AD47" w:themeColor="accent6"/>
          <w:sz w:val="20"/>
          <w:szCs w:val="20"/>
        </w:rPr>
        <w:t xml:space="preserve"> </w:t>
      </w:r>
      <w:r w:rsidRPr="005316E5">
        <w:rPr>
          <w:rFonts w:ascii="Arial" w:hAnsi="Arial" w:cs="Arial"/>
          <w:sz w:val="20"/>
          <w:szCs w:val="20"/>
        </w:rPr>
        <w:t>zákona č. 128/2000 Sb., o obcích (obecní zřízení), ve znění pozdějších předpisů, toto nařízení:</w:t>
      </w:r>
    </w:p>
    <w:p w14:paraId="0B7BD4E3" w14:textId="77777777" w:rsidR="00C94CD6" w:rsidRPr="005316E5" w:rsidRDefault="00C94CD6" w:rsidP="00C94C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A2CF20" w14:textId="77777777" w:rsidR="00C94CD6" w:rsidRPr="005316E5" w:rsidRDefault="00C94CD6" w:rsidP="00C94CD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</w:p>
    <w:p w14:paraId="08F0BD1E" w14:textId="77777777" w:rsidR="00C94CD6" w:rsidRPr="005316E5" w:rsidRDefault="00C94CD6" w:rsidP="00C94C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Vymezení oblastí města</w:t>
      </w:r>
    </w:p>
    <w:p w14:paraId="1693EE1C" w14:textId="77777777" w:rsidR="00C94CD6" w:rsidRPr="005316E5" w:rsidRDefault="00C94CD6" w:rsidP="00C94C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>Oblasti města, ve kterých lze místní komunikace nebo jejich určené úseky užít za cenu sjednanou v souladu s cenovými předpisy</w:t>
      </w:r>
      <w:r w:rsidRPr="005316E5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 w:rsidRPr="005316E5">
        <w:rPr>
          <w:rFonts w:ascii="Arial" w:eastAsia="Times New Roman" w:hAnsi="Arial" w:cs="Arial"/>
          <w:sz w:val="20"/>
          <w:szCs w:val="20"/>
          <w:lang w:eastAsia="cs-CZ"/>
        </w:rPr>
        <w:t xml:space="preserve"> k stání silničního motorového vozidla ve městě na dobu časově omezenou, nejvýše však na 24 hodin, jsou vymezeny v příloze č. 1 k tomuto nařízení,</w:t>
      </w:r>
    </w:p>
    <w:p w14:paraId="44226337" w14:textId="77777777" w:rsidR="00C94CD6" w:rsidRPr="005316E5" w:rsidRDefault="00C94CD6" w:rsidP="00C94C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4513E9" w14:textId="77777777" w:rsidR="00C94CD6" w:rsidRPr="005316E5" w:rsidRDefault="00C94CD6" w:rsidP="00C94C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5319D72A" w14:textId="77777777" w:rsidR="00C94CD6" w:rsidRPr="005316E5" w:rsidRDefault="00C94CD6" w:rsidP="00C94C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Způsob placení sjednané ceny</w:t>
      </w:r>
    </w:p>
    <w:p w14:paraId="21605A79" w14:textId="77777777" w:rsidR="00C94CD6" w:rsidRPr="005316E5" w:rsidRDefault="00C94CD6" w:rsidP="00C94CD6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>Sjednaná cena se platí prostřednictvím zakoupením parkovacího lístku v zařízení pro placení ceny za užívání vymezeného úseku místní komunikace nebo prostřednictvím webového rozhraní (virtuální parkovací lístek).</w:t>
      </w:r>
    </w:p>
    <w:p w14:paraId="087BA33C" w14:textId="77777777" w:rsidR="00C94CD6" w:rsidRPr="005316E5" w:rsidRDefault="00C94CD6" w:rsidP="00C94C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31EF05" w14:textId="77777777" w:rsidR="00C94CD6" w:rsidRPr="005316E5" w:rsidRDefault="00C94CD6" w:rsidP="00C94C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Čl. 3</w:t>
      </w:r>
    </w:p>
    <w:p w14:paraId="38AB4B77" w14:textId="77777777" w:rsidR="00C94CD6" w:rsidRPr="005316E5" w:rsidRDefault="00C94CD6" w:rsidP="00C94C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Prokázání zaplacení sjednané ceny</w:t>
      </w:r>
    </w:p>
    <w:p w14:paraId="1E7AD3FF" w14:textId="77777777" w:rsidR="00C94CD6" w:rsidRPr="005316E5" w:rsidRDefault="00C94CD6" w:rsidP="00C94C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 xml:space="preserve">Zaplacení sjednané ceny se prokazuje </w:t>
      </w:r>
    </w:p>
    <w:p w14:paraId="6923A737" w14:textId="77777777" w:rsidR="00C94CD6" w:rsidRPr="005316E5" w:rsidRDefault="00C94CD6" w:rsidP="00C94C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D2D10F" w14:textId="77777777" w:rsidR="00C94CD6" w:rsidRPr="005316E5" w:rsidRDefault="00C94CD6" w:rsidP="00C94C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>umístěním platného parkovacího lístku po celou dobu stání silničního motorového vozidla na viditelném místě za předním sklem vozidla tak, aby byly veškeré údaje uvedené na tomto dokladu čitelné z vnějšku vozidla. Řidič jednostopého motorového vozidla uschová parkovací lístek u sebe a zaplacení sjednané ceny prokazuje na vyzvání.</w:t>
      </w:r>
    </w:p>
    <w:p w14:paraId="0DAAEB64" w14:textId="77777777" w:rsidR="00C94CD6" w:rsidRPr="005316E5" w:rsidRDefault="00C94CD6" w:rsidP="00C94CD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1524FB" w14:textId="77777777" w:rsidR="00C94CD6" w:rsidRPr="005316E5" w:rsidRDefault="00C94CD6" w:rsidP="00C94C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 xml:space="preserve">předložením virtuálního parkovacího lístku na vyzvání. Řidič, který zaplatil sjednanou cenu prostřednictvím webového rozhraní, je povinen uschovat virtuální parkovací lístek v mobilním telefonu (nebo jiném obdobném elektronickém mobilním zařízení) po celou dobu jeho platnosti. </w:t>
      </w:r>
    </w:p>
    <w:p w14:paraId="5338A03A" w14:textId="77777777" w:rsidR="00C94CD6" w:rsidRPr="005316E5" w:rsidRDefault="00C94CD6" w:rsidP="00C94CD6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Čl. 4</w:t>
      </w:r>
    </w:p>
    <w:p w14:paraId="3E67B267" w14:textId="77777777" w:rsidR="00C94CD6" w:rsidRPr="005316E5" w:rsidRDefault="00C94CD6" w:rsidP="00C94CD6">
      <w:pPr>
        <w:spacing w:after="0" w:line="20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Zrušovací ustanovení</w:t>
      </w:r>
    </w:p>
    <w:p w14:paraId="2B33F163" w14:textId="77777777" w:rsidR="00C94CD6" w:rsidRPr="005316E5" w:rsidRDefault="00C94CD6" w:rsidP="00C94C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2C01FE3" w14:textId="77777777" w:rsidR="00C94CD6" w:rsidRPr="005316E5" w:rsidRDefault="00C94CD6" w:rsidP="00C94CD6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>Zrušuje se nařízení č. 1/2015</w:t>
      </w:r>
      <w:r w:rsidRPr="005316E5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5316E5">
        <w:rPr>
          <w:rFonts w:ascii="Arial" w:eastAsia="Times New Roman" w:hAnsi="Arial" w:cs="Arial"/>
          <w:iCs/>
          <w:sz w:val="20"/>
          <w:szCs w:val="20"/>
          <w:lang w:eastAsia="cs-CZ"/>
        </w:rPr>
        <w:t>o vymezení některých místních komunikací nebo jejich úseků ke stání silničních motorových vozidel ze dne 3. 2. 2015.</w:t>
      </w:r>
    </w:p>
    <w:p w14:paraId="1F93EE6E" w14:textId="77777777" w:rsidR="00C94CD6" w:rsidRPr="005316E5" w:rsidRDefault="00C94CD6" w:rsidP="00C94C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2EB6D3" w14:textId="77777777" w:rsidR="00C94CD6" w:rsidRPr="005316E5" w:rsidRDefault="00C94CD6" w:rsidP="00C94CD6">
      <w:pPr>
        <w:spacing w:before="240" w:after="60" w:line="240" w:lineRule="auto"/>
        <w:jc w:val="center"/>
        <w:outlineLvl w:val="5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Čl. 5</w:t>
      </w:r>
    </w:p>
    <w:p w14:paraId="6028845B" w14:textId="77777777" w:rsidR="00C94CD6" w:rsidRPr="005316E5" w:rsidRDefault="00C94CD6" w:rsidP="00C94CD6">
      <w:pPr>
        <w:spacing w:before="240" w:after="60" w:line="240" w:lineRule="auto"/>
        <w:jc w:val="center"/>
        <w:outlineLvl w:val="5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0D6A90BF" w14:textId="77777777" w:rsidR="00C94CD6" w:rsidRPr="005316E5" w:rsidRDefault="00C94CD6" w:rsidP="00C94CD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sz w:val="20"/>
          <w:szCs w:val="20"/>
          <w:lang w:eastAsia="cs-CZ"/>
        </w:rPr>
        <w:t xml:space="preserve">Toto nařízení nabývá účinnosti </w:t>
      </w:r>
      <w:r w:rsidRPr="005316E5">
        <w:rPr>
          <w:rFonts w:ascii="Arial" w:hAnsi="Arial" w:cs="Arial"/>
          <w:sz w:val="20"/>
          <w:szCs w:val="20"/>
        </w:rPr>
        <w:t>1. 1. 2025.</w:t>
      </w:r>
    </w:p>
    <w:p w14:paraId="4C3FA243" w14:textId="77777777" w:rsidR="00C94CD6" w:rsidRPr="005316E5" w:rsidRDefault="00C94CD6" w:rsidP="00C94CD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40CAFE" w14:textId="77777777" w:rsidR="00C94CD6" w:rsidRPr="005316E5" w:rsidRDefault="00C94CD6" w:rsidP="00C94CD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84645" w14:textId="77777777" w:rsidR="00C94CD6" w:rsidRPr="005316E5" w:rsidRDefault="00C94CD6" w:rsidP="00C94CD6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6C904C" w14:textId="77777777" w:rsidR="00C94CD6" w:rsidRPr="005316E5" w:rsidRDefault="00C94CD6" w:rsidP="00C94CD6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E8752C" w14:textId="77777777" w:rsidR="00C94CD6" w:rsidRPr="005316E5" w:rsidRDefault="00C94CD6" w:rsidP="00C94CD6">
      <w:pPr>
        <w:tabs>
          <w:tab w:val="left" w:pos="1620"/>
          <w:tab w:val="left" w:pos="7740"/>
        </w:tabs>
        <w:adjustRightInd w:val="0"/>
        <w:spacing w:after="0" w:line="240" w:lineRule="atLeast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ab/>
      </w:r>
    </w:p>
    <w:p w14:paraId="3BE3F05A" w14:textId="77777777" w:rsidR="00C94CD6" w:rsidRPr="005316E5" w:rsidRDefault="00C94CD6" w:rsidP="00C94CD6">
      <w:pPr>
        <w:tabs>
          <w:tab w:val="left" w:pos="1321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………………………………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………..………………………..</w:t>
      </w:r>
    </w:p>
    <w:p w14:paraId="32887E98" w14:textId="77777777" w:rsidR="00C94CD6" w:rsidRPr="005316E5" w:rsidRDefault="00C94CD6" w:rsidP="00C94CD6">
      <w:pPr>
        <w:tabs>
          <w:tab w:val="left" w:pos="1196"/>
          <w:tab w:val="left" w:pos="6804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Ing. Jan Kučera, </w:t>
      </w:r>
      <w:proofErr w:type="spellStart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MSc</w:t>
      </w:r>
      <w:proofErr w:type="spellEnd"/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., v. r. 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Mgr. Tomáš Gross v. r. </w:t>
      </w:r>
    </w:p>
    <w:p w14:paraId="396D5527" w14:textId="77777777" w:rsidR="00C94CD6" w:rsidRPr="005316E5" w:rsidRDefault="00C94CD6" w:rsidP="00C94CD6">
      <w:pPr>
        <w:tabs>
          <w:tab w:val="left" w:pos="1361"/>
          <w:tab w:val="left" w:pos="7088"/>
        </w:tabs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starosta</w:t>
      </w:r>
      <w:r w:rsidRPr="005316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místostarosta</w:t>
      </w:r>
    </w:p>
    <w:p w14:paraId="32687B08" w14:textId="77777777" w:rsidR="00C94CD6" w:rsidRPr="005316E5" w:rsidRDefault="00C94CD6" w:rsidP="00C94CD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44AEC8" w14:textId="77777777" w:rsidR="00C94CD6" w:rsidRPr="005316E5" w:rsidRDefault="00C94CD6" w:rsidP="00C94CD6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5316E5">
        <w:rPr>
          <w:rFonts w:ascii="Arial" w:hAnsi="Arial" w:cs="Arial"/>
          <w:i/>
          <w:iCs/>
          <w:sz w:val="20"/>
          <w:szCs w:val="20"/>
        </w:rPr>
        <w:lastRenderedPageBreak/>
        <w:t>Příloha č. 1 nařízení města Rožnov pod Radhoštěm kterým se vymezují oblasti města, ve kterých lze místní komunikace nebo jejich určené úseky užít ke stání vozidla jen za sjednanou cenu</w:t>
      </w:r>
    </w:p>
    <w:p w14:paraId="7EF2166E" w14:textId="77777777" w:rsidR="00C94CD6" w:rsidRPr="005316E5" w:rsidRDefault="00C94CD6" w:rsidP="00C94CD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5369D5" w14:textId="77777777" w:rsidR="00C94CD6" w:rsidRPr="005316E5" w:rsidRDefault="00C94CD6" w:rsidP="00C94CD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5316E5">
        <w:rPr>
          <w:rFonts w:ascii="Arial" w:hAnsi="Arial" w:cs="Arial"/>
          <w:b/>
          <w:bCs/>
          <w:sz w:val="20"/>
          <w:szCs w:val="20"/>
        </w:rPr>
        <w:t>Oblasti města, ve kterých lze místní komunikace nebo jejich určené úseky užít za cenu sjednanou v souladu s cenovými předpisy k stání silničního motorového vozidla ve městě na dobu časově omezenou, nejvýše však na 24 hodin</w:t>
      </w:r>
    </w:p>
    <w:p w14:paraId="230FCB33" w14:textId="77777777" w:rsidR="00C94CD6" w:rsidRPr="005316E5" w:rsidRDefault="00C94CD6" w:rsidP="00C94CD6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041"/>
        <w:gridCol w:w="1515"/>
        <w:gridCol w:w="1107"/>
        <w:gridCol w:w="4645"/>
      </w:tblGrid>
      <w:tr w:rsidR="00C94CD6" w:rsidRPr="005316E5" w14:paraId="4A37A7C5" w14:textId="77777777" w:rsidTr="009131C4">
        <w:trPr>
          <w:trHeight w:val="280"/>
        </w:trPr>
        <w:tc>
          <w:tcPr>
            <w:tcW w:w="1581" w:type="dxa"/>
          </w:tcPr>
          <w:p w14:paraId="2FF32D8F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1041" w:type="dxa"/>
          </w:tcPr>
          <w:p w14:paraId="1F278C1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</w:t>
            </w:r>
          </w:p>
        </w:tc>
        <w:tc>
          <w:tcPr>
            <w:tcW w:w="1515" w:type="dxa"/>
          </w:tcPr>
          <w:p w14:paraId="4B36DAC0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Třída komunikace </w:t>
            </w:r>
          </w:p>
        </w:tc>
        <w:tc>
          <w:tcPr>
            <w:tcW w:w="1107" w:type="dxa"/>
          </w:tcPr>
          <w:p w14:paraId="1272C3A8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komunikace </w:t>
            </w:r>
          </w:p>
        </w:tc>
        <w:tc>
          <w:tcPr>
            <w:tcW w:w="4645" w:type="dxa"/>
          </w:tcPr>
          <w:p w14:paraId="57C8B795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Dotčené parcely, k. </w:t>
            </w:r>
            <w:proofErr w:type="spellStart"/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>ú.</w:t>
            </w:r>
            <w:proofErr w:type="spellEnd"/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Rožnov pod Radhoštěm </w:t>
            </w:r>
          </w:p>
        </w:tc>
      </w:tr>
      <w:tr w:rsidR="00C94CD6" w:rsidRPr="005316E5" w14:paraId="5C1AE5DD" w14:textId="77777777" w:rsidTr="009131C4">
        <w:trPr>
          <w:trHeight w:val="646"/>
        </w:trPr>
        <w:tc>
          <w:tcPr>
            <w:tcW w:w="1581" w:type="dxa"/>
          </w:tcPr>
          <w:p w14:paraId="542C05D5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Náměstí Míru </w:t>
            </w:r>
            <w:r w:rsidRPr="00066718">
              <w:rPr>
                <w:rFonts w:ascii="Arial" w:hAnsi="Arial" w:cs="Arial"/>
                <w:sz w:val="20"/>
                <w:szCs w:val="20"/>
              </w:rPr>
              <w:t>(u pošty)</w:t>
            </w:r>
          </w:p>
        </w:tc>
        <w:tc>
          <w:tcPr>
            <w:tcW w:w="1041" w:type="dxa"/>
          </w:tcPr>
          <w:p w14:paraId="37E8B158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123 </w:t>
            </w:r>
          </w:p>
        </w:tc>
        <w:tc>
          <w:tcPr>
            <w:tcW w:w="1515" w:type="dxa"/>
          </w:tcPr>
          <w:p w14:paraId="74E84532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0DB3934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3D25542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3564/1; 160/2; 3564/3; 3564/21 </w:t>
            </w:r>
          </w:p>
        </w:tc>
      </w:tr>
      <w:tr w:rsidR="00C94CD6" w:rsidRPr="005316E5" w14:paraId="049158B2" w14:textId="77777777" w:rsidTr="009131C4">
        <w:trPr>
          <w:trHeight w:val="696"/>
        </w:trPr>
        <w:tc>
          <w:tcPr>
            <w:tcW w:w="1581" w:type="dxa"/>
          </w:tcPr>
          <w:p w14:paraId="0EF12CE0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Pivovarská </w:t>
            </w:r>
          </w:p>
        </w:tc>
        <w:tc>
          <w:tcPr>
            <w:tcW w:w="1041" w:type="dxa"/>
          </w:tcPr>
          <w:p w14:paraId="55533BD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140 </w:t>
            </w:r>
          </w:p>
        </w:tc>
        <w:tc>
          <w:tcPr>
            <w:tcW w:w="1515" w:type="dxa"/>
          </w:tcPr>
          <w:p w14:paraId="752B2587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134BB35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5A2CD26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74/1; 3565/1 </w:t>
            </w:r>
          </w:p>
        </w:tc>
      </w:tr>
      <w:tr w:rsidR="00C94CD6" w:rsidRPr="005316E5" w14:paraId="0D76E0C3" w14:textId="77777777" w:rsidTr="009131C4">
        <w:trPr>
          <w:trHeight w:val="603"/>
        </w:trPr>
        <w:tc>
          <w:tcPr>
            <w:tcW w:w="1581" w:type="dxa"/>
          </w:tcPr>
          <w:p w14:paraId="570467E0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Sokolská </w:t>
            </w:r>
          </w:p>
        </w:tc>
        <w:tc>
          <w:tcPr>
            <w:tcW w:w="1041" w:type="dxa"/>
          </w:tcPr>
          <w:p w14:paraId="5F11D397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426 </w:t>
            </w:r>
          </w:p>
        </w:tc>
        <w:tc>
          <w:tcPr>
            <w:tcW w:w="1515" w:type="dxa"/>
          </w:tcPr>
          <w:p w14:paraId="49EF322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7864DEE2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50C76B9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125/1; 4906/3; 4907/3; 6079/8 </w:t>
            </w:r>
          </w:p>
        </w:tc>
      </w:tr>
      <w:tr w:rsidR="00C94CD6" w:rsidRPr="005316E5" w14:paraId="6A01F155" w14:textId="77777777" w:rsidTr="009131C4">
        <w:trPr>
          <w:trHeight w:val="667"/>
        </w:trPr>
        <w:tc>
          <w:tcPr>
            <w:tcW w:w="1581" w:type="dxa"/>
          </w:tcPr>
          <w:p w14:paraId="24996412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Pionýrská </w:t>
            </w:r>
          </w:p>
        </w:tc>
        <w:tc>
          <w:tcPr>
            <w:tcW w:w="1041" w:type="dxa"/>
          </w:tcPr>
          <w:p w14:paraId="2BA0C81A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427 </w:t>
            </w:r>
          </w:p>
        </w:tc>
        <w:tc>
          <w:tcPr>
            <w:tcW w:w="1515" w:type="dxa"/>
          </w:tcPr>
          <w:p w14:paraId="522964D0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190D5176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2EFAE3CD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3619/2 </w:t>
            </w:r>
          </w:p>
        </w:tc>
      </w:tr>
      <w:tr w:rsidR="00C94CD6" w:rsidRPr="005316E5" w14:paraId="6A36BFA1" w14:textId="77777777" w:rsidTr="009131C4">
        <w:trPr>
          <w:trHeight w:val="703"/>
        </w:trPr>
        <w:tc>
          <w:tcPr>
            <w:tcW w:w="1581" w:type="dxa"/>
          </w:tcPr>
          <w:p w14:paraId="67943D1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Masarykovo náměstí </w:t>
            </w:r>
          </w:p>
        </w:tc>
        <w:tc>
          <w:tcPr>
            <w:tcW w:w="1041" w:type="dxa"/>
          </w:tcPr>
          <w:p w14:paraId="3CF98FAD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669 </w:t>
            </w:r>
          </w:p>
        </w:tc>
        <w:tc>
          <w:tcPr>
            <w:tcW w:w="1515" w:type="dxa"/>
          </w:tcPr>
          <w:p w14:paraId="4D09A947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06AFE2EF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24A1B202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3564/1 </w:t>
            </w:r>
          </w:p>
        </w:tc>
      </w:tr>
      <w:tr w:rsidR="00C94CD6" w:rsidRPr="005316E5" w14:paraId="53A6937F" w14:textId="77777777" w:rsidTr="009131C4">
        <w:trPr>
          <w:trHeight w:val="691"/>
        </w:trPr>
        <w:tc>
          <w:tcPr>
            <w:tcW w:w="1581" w:type="dxa"/>
          </w:tcPr>
          <w:p w14:paraId="51627993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Masarykovo náměstí </w:t>
            </w:r>
          </w:p>
        </w:tc>
        <w:tc>
          <w:tcPr>
            <w:tcW w:w="1041" w:type="dxa"/>
          </w:tcPr>
          <w:p w14:paraId="49DEE06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4001 </w:t>
            </w:r>
          </w:p>
        </w:tc>
        <w:tc>
          <w:tcPr>
            <w:tcW w:w="1515" w:type="dxa"/>
          </w:tcPr>
          <w:p w14:paraId="0654C89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7DA0CAA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1C8C766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3564/1 </w:t>
            </w:r>
          </w:p>
        </w:tc>
      </w:tr>
      <w:tr w:rsidR="00C94CD6" w:rsidRPr="005316E5" w14:paraId="087D4D1B" w14:textId="77777777" w:rsidTr="009131C4">
        <w:trPr>
          <w:trHeight w:val="701"/>
        </w:trPr>
        <w:tc>
          <w:tcPr>
            <w:tcW w:w="1581" w:type="dxa"/>
          </w:tcPr>
          <w:p w14:paraId="38755FA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Nádražní </w:t>
            </w:r>
          </w:p>
        </w:tc>
        <w:tc>
          <w:tcPr>
            <w:tcW w:w="1041" w:type="dxa"/>
          </w:tcPr>
          <w:p w14:paraId="09E4694F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131 </w:t>
            </w:r>
          </w:p>
        </w:tc>
        <w:tc>
          <w:tcPr>
            <w:tcW w:w="1515" w:type="dxa"/>
          </w:tcPr>
          <w:p w14:paraId="1AA8C009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56DBE5E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4D10619B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74/3; 3565/3; 3565/4; 6081/2; 6202 </w:t>
            </w:r>
          </w:p>
        </w:tc>
      </w:tr>
      <w:tr w:rsidR="00C94CD6" w:rsidRPr="005316E5" w14:paraId="4C5C4C9E" w14:textId="77777777" w:rsidTr="009131C4">
        <w:trPr>
          <w:trHeight w:val="711"/>
        </w:trPr>
        <w:tc>
          <w:tcPr>
            <w:tcW w:w="1581" w:type="dxa"/>
          </w:tcPr>
          <w:p w14:paraId="4A03B776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Letenská - </w:t>
            </w:r>
            <w:r w:rsidRPr="00066718">
              <w:rPr>
                <w:rFonts w:ascii="Arial" w:hAnsi="Arial" w:cs="Arial"/>
                <w:sz w:val="20"/>
                <w:szCs w:val="20"/>
              </w:rPr>
              <w:t>Poliklinika</w:t>
            </w:r>
            <w:proofErr w:type="gramEnd"/>
            <w:r w:rsidRPr="000667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</w:tcPr>
          <w:p w14:paraId="0BA1FB9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351 </w:t>
            </w:r>
          </w:p>
        </w:tc>
        <w:tc>
          <w:tcPr>
            <w:tcW w:w="1515" w:type="dxa"/>
          </w:tcPr>
          <w:p w14:paraId="603E966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5C1C6ACB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4939E03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1326/17; 1326/22; 1427/5; 4911/1; 4911/2 </w:t>
            </w:r>
          </w:p>
        </w:tc>
      </w:tr>
      <w:tr w:rsidR="00C94CD6" w:rsidRPr="005316E5" w14:paraId="786CF247" w14:textId="77777777" w:rsidTr="009131C4">
        <w:trPr>
          <w:trHeight w:val="755"/>
        </w:trPr>
        <w:tc>
          <w:tcPr>
            <w:tcW w:w="1581" w:type="dxa"/>
          </w:tcPr>
          <w:p w14:paraId="0BF415A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>Letenská-</w:t>
            </w:r>
            <w:r w:rsidRPr="00066718">
              <w:rPr>
                <w:rFonts w:ascii="Arial" w:hAnsi="Arial" w:cs="Arial"/>
                <w:sz w:val="20"/>
                <w:szCs w:val="20"/>
              </w:rPr>
              <w:t xml:space="preserve">Poliklinika </w:t>
            </w:r>
          </w:p>
        </w:tc>
        <w:tc>
          <w:tcPr>
            <w:tcW w:w="1041" w:type="dxa"/>
          </w:tcPr>
          <w:p w14:paraId="2DF0643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357 </w:t>
            </w:r>
          </w:p>
        </w:tc>
        <w:tc>
          <w:tcPr>
            <w:tcW w:w="1515" w:type="dxa"/>
          </w:tcPr>
          <w:p w14:paraId="7A42628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5FCBDF17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2B3A58C9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4911/1; 4911/2; 4911/4 </w:t>
            </w:r>
          </w:p>
        </w:tc>
      </w:tr>
      <w:tr w:rsidR="00C94CD6" w:rsidRPr="005316E5" w14:paraId="0F583440" w14:textId="77777777" w:rsidTr="009131C4">
        <w:trPr>
          <w:trHeight w:val="805"/>
        </w:trPr>
        <w:tc>
          <w:tcPr>
            <w:tcW w:w="1581" w:type="dxa"/>
          </w:tcPr>
          <w:p w14:paraId="06979724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Letenská – </w:t>
            </w:r>
            <w:r w:rsidRPr="00066718">
              <w:rPr>
                <w:rFonts w:ascii="Arial" w:hAnsi="Arial" w:cs="Arial"/>
                <w:sz w:val="20"/>
                <w:szCs w:val="20"/>
              </w:rPr>
              <w:t>Poliklinika</w:t>
            </w:r>
          </w:p>
        </w:tc>
        <w:tc>
          <w:tcPr>
            <w:tcW w:w="1041" w:type="dxa"/>
          </w:tcPr>
          <w:p w14:paraId="008DF19C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374 </w:t>
            </w:r>
          </w:p>
        </w:tc>
        <w:tc>
          <w:tcPr>
            <w:tcW w:w="1515" w:type="dxa"/>
          </w:tcPr>
          <w:p w14:paraId="607AA39E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16E5">
              <w:rPr>
                <w:rFonts w:ascii="Arial" w:hAnsi="Arial" w:cs="Arial"/>
                <w:sz w:val="20"/>
                <w:szCs w:val="20"/>
              </w:rPr>
              <w:t>c - MK</w:t>
            </w:r>
            <w:proofErr w:type="gramEnd"/>
            <w:r w:rsidRPr="005316E5">
              <w:rPr>
                <w:rFonts w:ascii="Arial" w:hAnsi="Arial" w:cs="Arial"/>
                <w:sz w:val="20"/>
                <w:szCs w:val="20"/>
              </w:rPr>
              <w:t xml:space="preserve"> III. třídy </w:t>
            </w:r>
          </w:p>
        </w:tc>
        <w:tc>
          <w:tcPr>
            <w:tcW w:w="1107" w:type="dxa"/>
          </w:tcPr>
          <w:p w14:paraId="5BE3DC35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Vozovka </w:t>
            </w:r>
          </w:p>
        </w:tc>
        <w:tc>
          <w:tcPr>
            <w:tcW w:w="4645" w:type="dxa"/>
          </w:tcPr>
          <w:p w14:paraId="4F83D391" w14:textId="77777777" w:rsidR="00C94CD6" w:rsidRPr="005316E5" w:rsidRDefault="00C94CD6" w:rsidP="009131C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16E5">
              <w:rPr>
                <w:rFonts w:ascii="Arial" w:hAnsi="Arial" w:cs="Arial"/>
                <w:sz w:val="20"/>
                <w:szCs w:val="20"/>
              </w:rPr>
              <w:t xml:space="preserve">4911/2; 4911/3 </w:t>
            </w:r>
          </w:p>
        </w:tc>
      </w:tr>
    </w:tbl>
    <w:p w14:paraId="45D9352B" w14:textId="77777777" w:rsidR="00C94CD6" w:rsidRPr="005316E5" w:rsidRDefault="00C94CD6" w:rsidP="00C94C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D99C1F" w14:textId="77777777" w:rsidR="00C94CD6" w:rsidRPr="005316E5" w:rsidRDefault="00C94CD6" w:rsidP="00C94CD6">
      <w:pPr>
        <w:rPr>
          <w:rFonts w:ascii="Arial" w:hAnsi="Arial" w:cs="Arial"/>
          <w:sz w:val="20"/>
          <w:szCs w:val="20"/>
        </w:rPr>
      </w:pPr>
    </w:p>
    <w:p w14:paraId="0F472183" w14:textId="77777777" w:rsidR="00C94CD6" w:rsidRPr="005316E5" w:rsidRDefault="00C94CD6" w:rsidP="00C94C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87935C" w14:textId="77777777" w:rsidR="006043EA" w:rsidRDefault="006043EA"/>
    <w:sectPr w:rsidR="0060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E6E9C" w14:textId="77777777" w:rsidR="000071FA" w:rsidRDefault="000071FA" w:rsidP="00C94CD6">
      <w:pPr>
        <w:spacing w:after="0" w:line="240" w:lineRule="auto"/>
      </w:pPr>
      <w:r>
        <w:separator/>
      </w:r>
    </w:p>
  </w:endnote>
  <w:endnote w:type="continuationSeparator" w:id="0">
    <w:p w14:paraId="3B19CC80" w14:textId="77777777" w:rsidR="000071FA" w:rsidRDefault="000071FA" w:rsidP="00C9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AAB58" w14:textId="77777777" w:rsidR="000071FA" w:rsidRDefault="000071FA" w:rsidP="00C94CD6">
      <w:pPr>
        <w:spacing w:after="0" w:line="240" w:lineRule="auto"/>
      </w:pPr>
      <w:r>
        <w:separator/>
      </w:r>
    </w:p>
  </w:footnote>
  <w:footnote w:type="continuationSeparator" w:id="0">
    <w:p w14:paraId="18F4E9BD" w14:textId="77777777" w:rsidR="000071FA" w:rsidRDefault="000071FA" w:rsidP="00C94CD6">
      <w:pPr>
        <w:spacing w:after="0" w:line="240" w:lineRule="auto"/>
      </w:pPr>
      <w:r>
        <w:continuationSeparator/>
      </w:r>
    </w:p>
  </w:footnote>
  <w:footnote w:id="1">
    <w:p w14:paraId="36DD66AC" w14:textId="77777777" w:rsidR="00C94CD6" w:rsidRPr="00D92766" w:rsidRDefault="00C94CD6" w:rsidP="00C94CD6">
      <w:pPr>
        <w:pStyle w:val="Textpoznpodarou"/>
        <w:rPr>
          <w:rFonts w:ascii="Times New Roman" w:hAnsi="Times New Roman" w:cs="Times New Roman"/>
        </w:rPr>
      </w:pPr>
      <w:r w:rsidRPr="00D92766">
        <w:rPr>
          <w:rStyle w:val="Znakapoznpodarou"/>
          <w:rFonts w:ascii="Times New Roman" w:hAnsi="Times New Roman" w:cs="Times New Roman"/>
        </w:rPr>
        <w:footnoteRef/>
      </w:r>
      <w:r w:rsidRPr="00D92766">
        <w:rPr>
          <w:rFonts w:ascii="Times New Roman" w:hAnsi="Times New Roman" w:cs="Times New Roman"/>
        </w:rPr>
        <w:t xml:space="preserve"> Zákon č. 526/1990 Sb., o cenách,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626"/>
    <w:multiLevelType w:val="hybridMultilevel"/>
    <w:tmpl w:val="39164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D6"/>
    <w:rsid w:val="000071FA"/>
    <w:rsid w:val="00303176"/>
    <w:rsid w:val="006043EA"/>
    <w:rsid w:val="006940E7"/>
    <w:rsid w:val="00BD5E23"/>
    <w:rsid w:val="00C9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73A20"/>
  <w15:chartTrackingRefBased/>
  <w15:docId w15:val="{774914C3-1EAA-4AF0-94D0-41F6E0F0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CD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C94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94CD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C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CD6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C94CD6"/>
    <w:pPr>
      <w:ind w:left="720"/>
      <w:contextualSpacing/>
    </w:pPr>
  </w:style>
  <w:style w:type="paragraph" w:customStyle="1" w:styleId="Default">
    <w:name w:val="Default"/>
    <w:rsid w:val="00C9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1</cp:revision>
  <dcterms:created xsi:type="dcterms:W3CDTF">2024-12-16T14:45:00Z</dcterms:created>
  <dcterms:modified xsi:type="dcterms:W3CDTF">2024-12-16T14:46:00Z</dcterms:modified>
</cp:coreProperties>
</file>