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8A0" w:rsidRDefault="0026674B" w:rsidP="00A008A0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BD9AEA" wp14:editId="51878A9E">
            <wp:extent cx="787400" cy="1144905"/>
            <wp:effectExtent l="0" t="0" r="0" b="0"/>
            <wp:docPr id="1" name="il_f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8A0" w:rsidRDefault="00A008A0" w:rsidP="00A008A0">
      <w:pPr>
        <w:jc w:val="center"/>
        <w:rPr>
          <w:rFonts w:ascii="Arial" w:hAnsi="Arial" w:cs="Arial"/>
          <w:sz w:val="20"/>
          <w:szCs w:val="20"/>
        </w:rPr>
      </w:pPr>
    </w:p>
    <w:p w:rsidR="00A008A0" w:rsidRDefault="00A008A0" w:rsidP="00A008A0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S T A T U T Á R N Í</w:t>
      </w:r>
      <w:r w:rsidRPr="00A10DA5">
        <w:rPr>
          <w:b/>
          <w:bCs/>
          <w:sz w:val="36"/>
          <w:szCs w:val="36"/>
        </w:rPr>
        <w:t xml:space="preserve">   </w:t>
      </w:r>
      <w:r>
        <w:rPr>
          <w:b/>
          <w:bCs/>
          <w:sz w:val="40"/>
          <w:szCs w:val="40"/>
        </w:rPr>
        <w:t>M Ě S T O</w:t>
      </w:r>
      <w:r w:rsidRPr="00A10DA5">
        <w:rPr>
          <w:b/>
          <w:bCs/>
          <w:sz w:val="36"/>
          <w:szCs w:val="36"/>
        </w:rPr>
        <w:t xml:space="preserve">   </w:t>
      </w:r>
      <w:r>
        <w:rPr>
          <w:b/>
          <w:bCs/>
          <w:sz w:val="40"/>
          <w:szCs w:val="40"/>
        </w:rPr>
        <w:t>C H O M U T O V</w:t>
      </w:r>
    </w:p>
    <w:p w:rsidR="001D0156" w:rsidRPr="007913A8" w:rsidRDefault="001D0156" w:rsidP="009B2B8D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</w:t>
      </w:r>
      <w:r w:rsidR="00A008A0">
        <w:rPr>
          <w:b/>
          <w:sz w:val="32"/>
        </w:rPr>
        <w:t>STATUTÁRNÍHO MĚSTA CHOMUTOV</w:t>
      </w:r>
    </w:p>
    <w:p w:rsidR="001D0156" w:rsidRPr="00880102" w:rsidRDefault="001D0156" w:rsidP="001D0156">
      <w:pPr>
        <w:jc w:val="center"/>
        <w:rPr>
          <w:b/>
          <w:sz w:val="20"/>
        </w:rPr>
      </w:pPr>
    </w:p>
    <w:p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D26BBB">
        <w:rPr>
          <w:b/>
          <w:sz w:val="32"/>
          <w:szCs w:val="32"/>
        </w:rPr>
        <w:t>,</w:t>
      </w:r>
    </w:p>
    <w:p w:rsidR="00561E02" w:rsidRPr="00C06D89" w:rsidRDefault="00561E02" w:rsidP="0026674B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:rsidR="00852FB3" w:rsidRPr="0015100A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A008A0">
        <w:rPr>
          <w:i/>
        </w:rPr>
        <w:t>města Chomutov</w:t>
      </w:r>
      <w:r w:rsidR="001D0156" w:rsidRPr="00880102">
        <w:rPr>
          <w:b/>
          <w:bCs/>
          <w:i/>
        </w:rPr>
        <w:t xml:space="preserve"> </w:t>
      </w:r>
      <w:r w:rsidRPr="00AD642E">
        <w:rPr>
          <w:i/>
        </w:rPr>
        <w:t xml:space="preserve">se na svém zasedání dne </w:t>
      </w:r>
      <w:r w:rsidR="001F0584">
        <w:rPr>
          <w:i/>
        </w:rPr>
        <w:t>6. 12.</w:t>
      </w:r>
      <w:r w:rsidRPr="00255DE2">
        <w:rPr>
          <w:i/>
        </w:rPr>
        <w:t xml:space="preserve"> </w:t>
      </w:r>
      <w:r w:rsidR="007820D7">
        <w:rPr>
          <w:i/>
        </w:rPr>
        <w:t>2022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 xml:space="preserve">usnesením </w:t>
      </w:r>
      <w:r w:rsidR="00DF5A23" w:rsidRPr="00747550">
        <w:rPr>
          <w:i/>
        </w:rPr>
        <w:t>č.</w:t>
      </w:r>
      <w:r w:rsidR="007820D7" w:rsidRPr="00747550">
        <w:rPr>
          <w:i/>
        </w:rPr>
        <w:t> </w:t>
      </w:r>
      <w:r w:rsidR="00747550" w:rsidRPr="00747550">
        <w:rPr>
          <w:i/>
        </w:rPr>
        <w:t>474</w:t>
      </w:r>
      <w:r w:rsidR="00C11538" w:rsidRPr="00747550">
        <w:rPr>
          <w:i/>
        </w:rPr>
        <w:t>/22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:rsidR="00852FB3" w:rsidRPr="00861912" w:rsidRDefault="00852FB3" w:rsidP="00561E02">
      <w:pPr>
        <w:jc w:val="center"/>
        <w:rPr>
          <w:b/>
        </w:rPr>
      </w:pPr>
    </w:p>
    <w:p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:rsidR="00561E02" w:rsidRPr="00F67DB1" w:rsidRDefault="00561E02" w:rsidP="00561E02">
      <w:pPr>
        <w:jc w:val="both"/>
        <w:rPr>
          <w:sz w:val="20"/>
        </w:rPr>
      </w:pPr>
    </w:p>
    <w:p w:rsidR="00561E02" w:rsidRPr="00861912" w:rsidRDefault="00A008A0" w:rsidP="00561E02">
      <w:pPr>
        <w:numPr>
          <w:ilvl w:val="0"/>
          <w:numId w:val="1"/>
        </w:numPr>
        <w:jc w:val="both"/>
      </w:pPr>
      <w:r>
        <w:t>Statutární město Chomutov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A008A0" w:rsidRPr="006D3F8C">
        <w:rPr>
          <w:sz w:val="24"/>
          <w:szCs w:val="24"/>
        </w:rPr>
        <w:t>Magistrát města Chomutova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:rsidR="00276971" w:rsidRP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:rsidR="00822A24" w:rsidRDefault="00822A24"/>
    <w:p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</w:p>
    <w:p w:rsidR="00561E02" w:rsidRPr="00F67DB1" w:rsidRDefault="00561E02">
      <w:pPr>
        <w:rPr>
          <w:sz w:val="20"/>
        </w:rPr>
      </w:pPr>
    </w:p>
    <w:p w:rsidR="0026674B" w:rsidRPr="0026674B" w:rsidRDefault="00066DC9" w:rsidP="0026674B"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:rsidR="0026674B" w:rsidRDefault="0026674B" w:rsidP="00561E02">
      <w:pPr>
        <w:tabs>
          <w:tab w:val="left" w:pos="3780"/>
        </w:tabs>
        <w:jc w:val="center"/>
        <w:rPr>
          <w:b/>
        </w:rPr>
      </w:pPr>
    </w:p>
    <w:p w:rsidR="00D6027C" w:rsidRDefault="00D6027C" w:rsidP="00561E02">
      <w:pPr>
        <w:tabs>
          <w:tab w:val="left" w:pos="3780"/>
        </w:tabs>
        <w:jc w:val="center"/>
        <w:rPr>
          <w:b/>
        </w:rPr>
      </w:pPr>
    </w:p>
    <w:p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:rsidR="00561E02" w:rsidRPr="006C2CF0" w:rsidRDefault="00561E02" w:rsidP="00561E02">
      <w:pPr>
        <w:tabs>
          <w:tab w:val="left" w:pos="3780"/>
        </w:tabs>
        <w:jc w:val="both"/>
      </w:pPr>
    </w:p>
    <w:p w:rsidR="00814C64" w:rsidRPr="00D6118C" w:rsidRDefault="00814C64" w:rsidP="00A5589A">
      <w:pPr>
        <w:pStyle w:val="Zkladntext"/>
        <w:numPr>
          <w:ilvl w:val="0"/>
          <w:numId w:val="39"/>
        </w:numPr>
        <w:spacing w:after="0"/>
        <w:jc w:val="both"/>
      </w:pPr>
      <w:r w:rsidRPr="00D6118C">
        <w:t xml:space="preserve">Poplatník je povinen podat správci poplatku ohlášení do </w:t>
      </w:r>
      <w:r w:rsidR="00F67DB1">
        <w:t>15</w:t>
      </w:r>
      <w:r w:rsidRPr="00D6118C">
        <w:t xml:space="preserve"> dnů od vzniku poplatkové povinnosti. Ve stejné lhůtě se ohlašuje nárok na osvobození</w:t>
      </w:r>
      <w:r w:rsidR="007820D7">
        <w:t xml:space="preserve"> nebo úlevu</w:t>
      </w:r>
      <w:r w:rsidRPr="00D6118C">
        <w:t>, existoval-li důvod osvobození</w:t>
      </w:r>
      <w:r w:rsidR="007820D7">
        <w:t xml:space="preserve"> nebo úlevy</w:t>
      </w:r>
      <w:r w:rsidRPr="00D6118C">
        <w:t xml:space="preserve"> v okamžiku vzniku poplatkové povinnosti.</w:t>
      </w:r>
    </w:p>
    <w:p w:rsidR="00814C64" w:rsidRPr="00305E51" w:rsidRDefault="00814C64" w:rsidP="00A5589A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:rsidR="00814C64" w:rsidRDefault="00814C64" w:rsidP="00A5589A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:rsidR="00814C64" w:rsidRDefault="00814C64" w:rsidP="00A5589A">
      <w:pPr>
        <w:numPr>
          <w:ilvl w:val="0"/>
          <w:numId w:val="39"/>
        </w:numPr>
        <w:jc w:val="both"/>
        <w:rPr>
          <w:sz w:val="23"/>
          <w:szCs w:val="23"/>
        </w:rPr>
      </w:pPr>
      <w:r w:rsidRPr="00A5589A">
        <w:t>Důsledky nesplnění ohlašovací povinnosti ke vzniku osvobození</w:t>
      </w:r>
      <w:r w:rsidR="007820D7" w:rsidRPr="00A5589A">
        <w:t xml:space="preserve"> nebo úlevy</w:t>
      </w:r>
      <w:r w:rsidRPr="00A5589A">
        <w:t xml:space="preserve"> stanoví zákon</w:t>
      </w:r>
      <w:r w:rsidRPr="00476544">
        <w:rPr>
          <w:sz w:val="23"/>
          <w:szCs w:val="23"/>
        </w:rPr>
        <w:t>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:rsidR="00F234B6" w:rsidRPr="00C2493C" w:rsidRDefault="00F234B6" w:rsidP="00A5589A">
      <w:pPr>
        <w:numPr>
          <w:ilvl w:val="0"/>
          <w:numId w:val="39"/>
        </w:numPr>
        <w:jc w:val="both"/>
        <w:rPr>
          <w:sz w:val="23"/>
          <w:szCs w:val="23"/>
        </w:rPr>
      </w:pPr>
      <w:r w:rsidRPr="00C2493C">
        <w:t>Poplatník není povinen podat ohlášení</w:t>
      </w:r>
      <w:r w:rsidR="00C2493C" w:rsidRPr="00C2493C">
        <w:t xml:space="preserve"> k osvobození dle čl. 5 </w:t>
      </w:r>
      <w:r w:rsidR="00C2493C" w:rsidRPr="00747550">
        <w:t xml:space="preserve">odst. 2 písm. d) </w:t>
      </w:r>
      <w:r w:rsidR="00DE345B" w:rsidRPr="00747550">
        <w:t xml:space="preserve">a e) </w:t>
      </w:r>
      <w:r w:rsidR="00C2493C" w:rsidRPr="00747550">
        <w:t xml:space="preserve">této </w:t>
      </w:r>
      <w:r w:rsidR="00C2493C" w:rsidRPr="00C2493C">
        <w:t>vyhlášky a k úlevě dle čl. 5 odst. 3 této vyhlášky</w:t>
      </w:r>
      <w:r w:rsidRPr="00C2493C">
        <w:t>.</w:t>
      </w:r>
      <w:r w:rsidRPr="00C2493C">
        <w:rPr>
          <w:rStyle w:val="Znakapoznpodarou"/>
        </w:rPr>
        <w:footnoteReference w:id="10"/>
      </w:r>
      <w:r w:rsidRPr="00C2493C">
        <w:rPr>
          <w:vertAlign w:val="superscript"/>
        </w:rPr>
        <w:t>)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:rsidR="00561E02" w:rsidRPr="00814C64" w:rsidRDefault="007F4991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V</w:t>
      </w:r>
      <w:r w:rsidR="0072676B">
        <w:rPr>
          <w:b/>
        </w:rPr>
        <w:t>ýpočet výše poplatku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561E02" w:rsidRPr="0072676B" w:rsidRDefault="0072676B" w:rsidP="00561E02">
      <w:pPr>
        <w:numPr>
          <w:ilvl w:val="0"/>
          <w:numId w:val="4"/>
        </w:numPr>
        <w:tabs>
          <w:tab w:val="left" w:pos="3780"/>
        </w:tabs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7820D7">
        <w:rPr>
          <w:b/>
        </w:rPr>
        <w:t>800</w:t>
      </w:r>
      <w:r w:rsidR="00814C64" w:rsidRPr="0072676B">
        <w:t xml:space="preserve"> </w:t>
      </w:r>
      <w:r w:rsidR="007F4991">
        <w:t>Kč za poplatkové období.</w:t>
      </w:r>
    </w:p>
    <w:p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1"/>
      </w:r>
      <w:r w:rsidR="001A2E6D" w:rsidRPr="00377C5E">
        <w:rPr>
          <w:vertAlign w:val="superscript"/>
        </w:rPr>
        <w:t>)</w:t>
      </w:r>
    </w:p>
    <w:p w:rsidR="003A13D9" w:rsidRPr="00182E40" w:rsidRDefault="007820D7" w:rsidP="003A13D9">
      <w:pPr>
        <w:numPr>
          <w:ilvl w:val="0"/>
          <w:numId w:val="4"/>
        </w:numPr>
        <w:tabs>
          <w:tab w:val="left" w:pos="3780"/>
        </w:tabs>
        <w:jc w:val="both"/>
      </w:pPr>
      <w:r w:rsidRPr="007820D7">
        <w:rPr>
          <w:color w:val="000000"/>
        </w:rPr>
        <w:t>V případě úlevy se výše snížení poplatku stanoví obdobně postupem dle § 10h odst. 2 písm. b) a odst. 3 písm. c) zákona o místních poplatcích, a to v závislosti na výši úlevy.</w:t>
      </w:r>
    </w:p>
    <w:p w:rsidR="0026674B" w:rsidRDefault="0026674B" w:rsidP="0026674B">
      <w:pPr>
        <w:pStyle w:val="Zkladntext"/>
        <w:spacing w:after="0"/>
        <w:rPr>
          <w:b/>
          <w:bCs/>
        </w:rPr>
      </w:pPr>
    </w:p>
    <w:p w:rsidR="00D6027C" w:rsidRDefault="00D6027C" w:rsidP="0026674B">
      <w:pPr>
        <w:pStyle w:val="Zkladntext"/>
        <w:spacing w:after="0"/>
        <w:rPr>
          <w:b/>
          <w:bCs/>
        </w:rPr>
      </w:pP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lastRenderedPageBreak/>
        <w:t>Článek 5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 xml:space="preserve">Osvobození </w:t>
      </w:r>
      <w:r w:rsidR="00A2555B">
        <w:rPr>
          <w:b/>
          <w:bCs/>
        </w:rPr>
        <w:t>a úlevy</w:t>
      </w:r>
    </w:p>
    <w:p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</w:p>
    <w:p w:rsidR="00814C64" w:rsidRPr="00FA2706" w:rsidRDefault="00814C64" w:rsidP="00D6027C">
      <w:pPr>
        <w:pStyle w:val="Zkladntext"/>
        <w:numPr>
          <w:ilvl w:val="0"/>
          <w:numId w:val="49"/>
        </w:numPr>
        <w:spacing w:after="0"/>
        <w:ind w:left="357" w:hanging="357"/>
        <w:jc w:val="both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2"/>
      </w:r>
      <w:r w:rsidR="006C2CF0" w:rsidRPr="00FA2706">
        <w:rPr>
          <w:vertAlign w:val="superscript"/>
        </w:rPr>
        <w:t>)</w:t>
      </w:r>
    </w:p>
    <w:p w:rsidR="00FA2706" w:rsidRPr="00F67DB1" w:rsidRDefault="00FA2706" w:rsidP="00D6027C">
      <w:pPr>
        <w:pStyle w:val="Zkladntext"/>
        <w:numPr>
          <w:ilvl w:val="0"/>
          <w:numId w:val="49"/>
        </w:numPr>
        <w:spacing w:after="0"/>
        <w:ind w:left="357" w:hanging="357"/>
        <w:jc w:val="both"/>
      </w:pPr>
      <w:r w:rsidRPr="00F67DB1">
        <w:t>Od poplatku se dále touto vyhláškou</w:t>
      </w:r>
      <w:r w:rsidRPr="00F67DB1">
        <w:rPr>
          <w:rStyle w:val="Znakapoznpodarou"/>
        </w:rPr>
        <w:footnoteReference w:id="13"/>
      </w:r>
      <w:r w:rsidRPr="00F67DB1">
        <w:rPr>
          <w:vertAlign w:val="superscript"/>
        </w:rPr>
        <w:t>)</w:t>
      </w:r>
      <w:r w:rsidRPr="00F67DB1">
        <w:t xml:space="preserve"> osvobozují na dobu trvání důvodu osvobození poplatníci</w:t>
      </w:r>
      <w:r w:rsidR="00F67DB1" w:rsidRPr="00F67DB1">
        <w:t>:</w:t>
      </w:r>
    </w:p>
    <w:p w:rsidR="00F67DB1" w:rsidRPr="00A10DA5" w:rsidRDefault="00F67DB1" w:rsidP="00D6027C">
      <w:pPr>
        <w:numPr>
          <w:ilvl w:val="0"/>
          <w:numId w:val="44"/>
        </w:numPr>
        <w:jc w:val="both"/>
      </w:pPr>
      <w:r w:rsidRPr="00A10DA5">
        <w:t>držitelé průkazu ZTP/P;</w:t>
      </w:r>
      <w:r w:rsidRPr="00A10DA5">
        <w:rPr>
          <w:rStyle w:val="Znakypropoznmkupodarou"/>
        </w:rPr>
        <w:footnoteReference w:id="14"/>
      </w:r>
      <w:r w:rsidRPr="00A10DA5">
        <w:rPr>
          <w:vertAlign w:val="superscript"/>
        </w:rPr>
        <w:t>)</w:t>
      </w:r>
    </w:p>
    <w:p w:rsidR="00F67DB1" w:rsidRPr="00A10DA5" w:rsidRDefault="00F67DB1" w:rsidP="00D6027C">
      <w:pPr>
        <w:numPr>
          <w:ilvl w:val="0"/>
          <w:numId w:val="44"/>
        </w:numPr>
        <w:jc w:val="both"/>
      </w:pPr>
      <w:r w:rsidRPr="00A10DA5">
        <w:t>zdržující se více než 6 celých po sobě jdoucích kalendářních měsíců mimo území České republiky;</w:t>
      </w:r>
      <w:r w:rsidRPr="00A10DA5">
        <w:rPr>
          <w:rStyle w:val="Znakapoznpodarou"/>
        </w:rPr>
        <w:footnoteReference w:id="15"/>
      </w:r>
      <w:r w:rsidRPr="00A10DA5">
        <w:rPr>
          <w:vertAlign w:val="superscript"/>
        </w:rPr>
        <w:t>)</w:t>
      </w:r>
    </w:p>
    <w:p w:rsidR="00A2555B" w:rsidRPr="00A2555B" w:rsidRDefault="00F67DB1" w:rsidP="00D6027C">
      <w:pPr>
        <w:numPr>
          <w:ilvl w:val="0"/>
          <w:numId w:val="44"/>
        </w:numPr>
        <w:jc w:val="both"/>
      </w:pPr>
      <w:r w:rsidRPr="00A10DA5">
        <w:t xml:space="preserve">do 26 </w:t>
      </w:r>
      <w:r w:rsidRPr="00A2555B">
        <w:t>let věku, kteří jsou studenty denního studia střední, vyšší odborné a vysoké školy nebo konzervatoře s dojezd</w:t>
      </w:r>
      <w:r w:rsidR="00A2555B" w:rsidRPr="00A2555B">
        <w:t>ovou vzdáleností více než 70 km,</w:t>
      </w:r>
    </w:p>
    <w:p w:rsidR="00DE345B" w:rsidRPr="00747550" w:rsidRDefault="00DE345B" w:rsidP="00DE345B">
      <w:pPr>
        <w:numPr>
          <w:ilvl w:val="0"/>
          <w:numId w:val="44"/>
        </w:numPr>
        <w:jc w:val="both"/>
      </w:pPr>
      <w:r w:rsidRPr="00747550">
        <w:rPr>
          <w:bCs/>
        </w:rPr>
        <w:t>od narození do konce kalendářního roku, kdy dovrší 3 roky věku.</w:t>
      </w:r>
    </w:p>
    <w:p w:rsidR="00DE345B" w:rsidRPr="00747550" w:rsidRDefault="00DE345B" w:rsidP="00DE345B">
      <w:pPr>
        <w:pStyle w:val="Odstavecseseznamem"/>
        <w:numPr>
          <w:ilvl w:val="0"/>
          <w:numId w:val="44"/>
        </w:numPr>
        <w:rPr>
          <w:bCs/>
          <w:sz w:val="24"/>
        </w:rPr>
      </w:pPr>
      <w:r w:rsidRPr="00747550">
        <w:rPr>
          <w:bCs/>
          <w:sz w:val="24"/>
        </w:rPr>
        <w:t>starší 75 let věku, a to od počátku kalendářního roku následujícího po kalendářním roce, ve kterém takoví poplatníci dovršili věk 75 let věku.</w:t>
      </w:r>
    </w:p>
    <w:p w:rsidR="00A2555B" w:rsidRPr="00747550" w:rsidRDefault="00A2555B" w:rsidP="009B2B8D">
      <w:pPr>
        <w:pStyle w:val="Zkladntext"/>
        <w:numPr>
          <w:ilvl w:val="0"/>
          <w:numId w:val="49"/>
        </w:numPr>
        <w:spacing w:after="0"/>
        <w:ind w:left="357" w:hanging="357"/>
        <w:jc w:val="both"/>
      </w:pPr>
      <w:r w:rsidRPr="00747550">
        <w:t>Dále se touto vyhláškou stanoví úleva na poplatku ve výši 50</w:t>
      </w:r>
      <w:r w:rsidR="00BF4E7B" w:rsidRPr="00747550">
        <w:t xml:space="preserve"> </w:t>
      </w:r>
      <w:r w:rsidRPr="00747550">
        <w:t xml:space="preserve">% </w:t>
      </w:r>
      <w:r w:rsidR="00BF4E7B" w:rsidRPr="00747550">
        <w:t xml:space="preserve">(tj. 400 Kč za kalendářní rok) </w:t>
      </w:r>
      <w:r w:rsidR="00DE345B" w:rsidRPr="00747550">
        <w:t>poplatníkům ve věku 4 až 15</w:t>
      </w:r>
      <w:r w:rsidR="009B2B8D" w:rsidRPr="00747550">
        <w:t xml:space="preserve"> </w:t>
      </w:r>
      <w:r w:rsidR="00DE345B" w:rsidRPr="00747550">
        <w:t xml:space="preserve">let, </w:t>
      </w:r>
      <w:r w:rsidR="009B2B8D" w:rsidRPr="00747550">
        <w:t xml:space="preserve">a to </w:t>
      </w:r>
      <w:r w:rsidRPr="00747550">
        <w:rPr>
          <w:bCs/>
        </w:rPr>
        <w:t xml:space="preserve">od počátku kalendářního roku, ve kterém mají takoví poplatníci dovršit nebo dovršili </w:t>
      </w:r>
      <w:r w:rsidR="00182E40" w:rsidRPr="00747550">
        <w:rPr>
          <w:bCs/>
        </w:rPr>
        <w:t xml:space="preserve">4 </w:t>
      </w:r>
      <w:r w:rsidR="00D6027C" w:rsidRPr="00747550">
        <w:rPr>
          <w:bCs/>
        </w:rPr>
        <w:t> </w:t>
      </w:r>
      <w:r w:rsidRPr="00747550">
        <w:rPr>
          <w:bCs/>
        </w:rPr>
        <w:t>roky věku až do konce kalendářního roku, ve kterém dovrší 15  let věku;</w:t>
      </w:r>
    </w:p>
    <w:p w:rsidR="00F67DB1" w:rsidRPr="00A2555B" w:rsidRDefault="00F67DB1" w:rsidP="00D6027C">
      <w:pPr>
        <w:pStyle w:val="Zkladntext"/>
        <w:numPr>
          <w:ilvl w:val="0"/>
          <w:numId w:val="49"/>
        </w:numPr>
        <w:spacing w:after="0"/>
        <w:ind w:left="357" w:hanging="357"/>
        <w:jc w:val="both"/>
      </w:pPr>
      <w:r w:rsidRPr="00747550">
        <w:t xml:space="preserve">Společnou hmotně-právní podmínkou </w:t>
      </w:r>
      <w:r w:rsidRPr="00A2555B">
        <w:t>vzniku nebo trvání nároku na osvobození od poplatku</w:t>
      </w:r>
      <w:r w:rsidR="00A2555B" w:rsidRPr="00A2555B">
        <w:t xml:space="preserve"> </w:t>
      </w:r>
      <w:r w:rsidRPr="00A2555B">
        <w:t xml:space="preserve">stanoveného v odst. 2 </w:t>
      </w:r>
      <w:r w:rsidR="00A2555B" w:rsidRPr="00A2555B">
        <w:t>nebo nároku na úlevu na poplatku stanoveného v odst.</w:t>
      </w:r>
      <w:r w:rsidR="00A2555B">
        <w:t> </w:t>
      </w:r>
      <w:r w:rsidR="00A2555B" w:rsidRPr="00A2555B">
        <w:t xml:space="preserve">3 </w:t>
      </w:r>
      <w:r w:rsidRPr="00A2555B">
        <w:t>je neexistence splatného dluhu vůči statutárnímu městu Chomutov.</w:t>
      </w:r>
    </w:p>
    <w:p w:rsidR="00E3048D" w:rsidRPr="00A2555B" w:rsidRDefault="00E3048D" w:rsidP="00F67DB1">
      <w:pPr>
        <w:pStyle w:val="Zkladntext"/>
        <w:spacing w:after="0"/>
        <w:rPr>
          <w:b/>
          <w:bCs/>
        </w:rPr>
      </w:pP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2555B">
        <w:rPr>
          <w:b/>
          <w:bCs/>
        </w:rPr>
        <w:t>Článek 6</w:t>
      </w:r>
    </w:p>
    <w:p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:rsidR="00A2555B" w:rsidRDefault="00A2555B" w:rsidP="00A2555B">
      <w:pPr>
        <w:pStyle w:val="Odstavecseseznamem"/>
        <w:tabs>
          <w:tab w:val="left" w:pos="358"/>
        </w:tabs>
        <w:ind w:left="0" w:right="111" w:firstLine="0"/>
        <w:rPr>
          <w:sz w:val="24"/>
        </w:rPr>
      </w:pPr>
    </w:p>
    <w:p w:rsidR="00A2555B" w:rsidRDefault="00A2555B" w:rsidP="00A2555B">
      <w:pPr>
        <w:pStyle w:val="Odstavecseseznamem"/>
        <w:numPr>
          <w:ilvl w:val="0"/>
          <w:numId w:val="48"/>
        </w:numPr>
        <w:tabs>
          <w:tab w:val="left" w:pos="358"/>
        </w:tabs>
        <w:ind w:left="357" w:hanging="357"/>
        <w:rPr>
          <w:sz w:val="24"/>
        </w:rPr>
      </w:pPr>
      <w:r>
        <w:rPr>
          <w:sz w:val="24"/>
        </w:rPr>
        <w:t>Poplatek</w:t>
      </w:r>
      <w:r>
        <w:rPr>
          <w:spacing w:val="33"/>
          <w:sz w:val="24"/>
        </w:rPr>
        <w:t xml:space="preserve"> </w:t>
      </w:r>
      <w:r>
        <w:rPr>
          <w:sz w:val="24"/>
        </w:rPr>
        <w:t>je</w:t>
      </w:r>
      <w:r>
        <w:rPr>
          <w:spacing w:val="33"/>
          <w:sz w:val="24"/>
        </w:rPr>
        <w:t xml:space="preserve"> </w:t>
      </w:r>
      <w:r>
        <w:rPr>
          <w:sz w:val="24"/>
        </w:rPr>
        <w:t>splatný</w:t>
      </w:r>
      <w:r>
        <w:rPr>
          <w:spacing w:val="28"/>
          <w:sz w:val="24"/>
        </w:rPr>
        <w:t xml:space="preserve"> </w:t>
      </w:r>
      <w:r>
        <w:rPr>
          <w:sz w:val="24"/>
        </w:rPr>
        <w:t>čtvrtletně</w:t>
      </w:r>
      <w:r>
        <w:rPr>
          <w:spacing w:val="34"/>
          <w:sz w:val="24"/>
        </w:rPr>
        <w:t xml:space="preserve"> </w:t>
      </w:r>
      <w:r>
        <w:rPr>
          <w:sz w:val="24"/>
        </w:rPr>
        <w:t>ve</w:t>
      </w:r>
      <w:r>
        <w:rPr>
          <w:spacing w:val="33"/>
          <w:sz w:val="24"/>
        </w:rPr>
        <w:t xml:space="preserve"> </w:t>
      </w:r>
      <w:r>
        <w:rPr>
          <w:sz w:val="24"/>
        </w:rPr>
        <w:t>čtyřech</w:t>
      </w:r>
      <w:r>
        <w:rPr>
          <w:spacing w:val="35"/>
          <w:sz w:val="24"/>
        </w:rPr>
        <w:t xml:space="preserve"> </w:t>
      </w:r>
      <w:r>
        <w:rPr>
          <w:sz w:val="24"/>
        </w:rPr>
        <w:t>stejných</w:t>
      </w:r>
      <w:r>
        <w:rPr>
          <w:spacing w:val="33"/>
          <w:sz w:val="24"/>
        </w:rPr>
        <w:t xml:space="preserve"> </w:t>
      </w:r>
      <w:r>
        <w:rPr>
          <w:sz w:val="24"/>
        </w:rPr>
        <w:t>splátkách,</w:t>
      </w:r>
      <w:r>
        <w:rPr>
          <w:spacing w:val="33"/>
          <w:sz w:val="24"/>
        </w:rPr>
        <w:t xml:space="preserve"> </w:t>
      </w:r>
      <w:r>
        <w:rPr>
          <w:sz w:val="24"/>
        </w:rPr>
        <w:t>a</w:t>
      </w:r>
      <w:r>
        <w:rPr>
          <w:spacing w:val="33"/>
          <w:sz w:val="24"/>
        </w:rPr>
        <w:t xml:space="preserve"> </w:t>
      </w:r>
      <w:r>
        <w:rPr>
          <w:sz w:val="24"/>
        </w:rPr>
        <w:t>to</w:t>
      </w:r>
      <w:r>
        <w:rPr>
          <w:spacing w:val="37"/>
          <w:sz w:val="24"/>
        </w:rPr>
        <w:t xml:space="preserve"> </w:t>
      </w:r>
      <w:r>
        <w:rPr>
          <w:sz w:val="24"/>
        </w:rPr>
        <w:t>nejpozději</w:t>
      </w:r>
      <w:r>
        <w:rPr>
          <w:spacing w:val="34"/>
          <w:sz w:val="24"/>
        </w:rPr>
        <w:t xml:space="preserve"> </w:t>
      </w:r>
      <w:r>
        <w:rPr>
          <w:sz w:val="24"/>
        </w:rPr>
        <w:t>do</w:t>
      </w:r>
      <w:r>
        <w:rPr>
          <w:spacing w:val="34"/>
          <w:sz w:val="24"/>
        </w:rPr>
        <w:t xml:space="preserve"> </w:t>
      </w:r>
      <w:r>
        <w:rPr>
          <w:sz w:val="24"/>
        </w:rPr>
        <w:t>31.</w:t>
      </w:r>
      <w:r>
        <w:rPr>
          <w:spacing w:val="34"/>
          <w:sz w:val="24"/>
        </w:rPr>
        <w:t xml:space="preserve"> </w:t>
      </w:r>
      <w:r>
        <w:rPr>
          <w:spacing w:val="-5"/>
          <w:sz w:val="24"/>
        </w:rPr>
        <w:t xml:space="preserve">3., </w:t>
      </w:r>
      <w:r>
        <w:rPr>
          <w:sz w:val="24"/>
        </w:rPr>
        <w:t>30.</w:t>
      </w:r>
      <w:r>
        <w:rPr>
          <w:spacing w:val="73"/>
          <w:sz w:val="24"/>
        </w:rPr>
        <w:t xml:space="preserve"> </w:t>
      </w:r>
      <w:r>
        <w:rPr>
          <w:sz w:val="24"/>
        </w:rPr>
        <w:t>6.,</w:t>
      </w:r>
      <w:r>
        <w:rPr>
          <w:spacing w:val="73"/>
          <w:sz w:val="24"/>
        </w:rPr>
        <w:t xml:space="preserve"> </w:t>
      </w:r>
      <w:r>
        <w:rPr>
          <w:sz w:val="24"/>
        </w:rPr>
        <w:t>30.</w:t>
      </w:r>
      <w:r>
        <w:rPr>
          <w:spacing w:val="74"/>
          <w:sz w:val="24"/>
        </w:rPr>
        <w:t xml:space="preserve"> </w:t>
      </w:r>
      <w:r>
        <w:rPr>
          <w:sz w:val="24"/>
        </w:rPr>
        <w:t>9.</w:t>
      </w:r>
      <w:r>
        <w:rPr>
          <w:spacing w:val="72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31. 12.</w:t>
      </w:r>
      <w:r>
        <w:rPr>
          <w:spacing w:val="73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73"/>
          <w:sz w:val="24"/>
        </w:rPr>
        <w:t xml:space="preserve"> </w:t>
      </w:r>
      <w:r>
        <w:rPr>
          <w:sz w:val="24"/>
        </w:rPr>
        <w:t>kalendářního</w:t>
      </w:r>
      <w:r>
        <w:rPr>
          <w:spacing w:val="73"/>
          <w:sz w:val="24"/>
        </w:rPr>
        <w:t xml:space="preserve"> </w:t>
      </w:r>
      <w:r>
        <w:rPr>
          <w:sz w:val="24"/>
        </w:rPr>
        <w:t>roku.</w:t>
      </w:r>
      <w:r>
        <w:rPr>
          <w:spacing w:val="7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případě</w:t>
      </w:r>
      <w:r>
        <w:rPr>
          <w:spacing w:val="72"/>
          <w:sz w:val="24"/>
        </w:rPr>
        <w:t xml:space="preserve"> </w:t>
      </w:r>
      <w:r>
        <w:rPr>
          <w:sz w:val="24"/>
        </w:rPr>
        <w:t>vzniku</w:t>
      </w:r>
      <w:r>
        <w:rPr>
          <w:spacing w:val="74"/>
          <w:sz w:val="24"/>
        </w:rPr>
        <w:t xml:space="preserve"> </w:t>
      </w:r>
      <w:r>
        <w:rPr>
          <w:spacing w:val="-2"/>
          <w:sz w:val="24"/>
        </w:rPr>
        <w:t xml:space="preserve">poplatkové </w:t>
      </w:r>
      <w:r>
        <w:rPr>
          <w:sz w:val="24"/>
        </w:rPr>
        <w:t>povinnosti (nebo zániku osvobození</w:t>
      </w:r>
      <w:r w:rsidR="00F94BE2">
        <w:rPr>
          <w:sz w:val="24"/>
        </w:rPr>
        <w:t xml:space="preserve"> nebo úlevy</w:t>
      </w:r>
      <w:r>
        <w:rPr>
          <w:sz w:val="24"/>
        </w:rPr>
        <w:t>) po 16. 3., 15. 6. a 15. 9. příslušného kalendářního roku, je poměrná výše poplatku dle čl. 4 za příslušné čtvrtletí splatná až se splátkou za následující čtvrtletí.</w:t>
      </w:r>
    </w:p>
    <w:p w:rsidR="00A2555B" w:rsidRPr="00A2555B" w:rsidRDefault="00A2555B" w:rsidP="00A2555B">
      <w:pPr>
        <w:pStyle w:val="Odstavecseseznamem"/>
        <w:numPr>
          <w:ilvl w:val="0"/>
          <w:numId w:val="48"/>
        </w:numPr>
        <w:tabs>
          <w:tab w:val="left" w:pos="358"/>
        </w:tabs>
        <w:ind w:left="357" w:hanging="357"/>
        <w:rPr>
          <w:sz w:val="24"/>
        </w:rPr>
      </w:pPr>
      <w:r>
        <w:rPr>
          <w:sz w:val="24"/>
        </w:rPr>
        <w:t>Poplatek</w:t>
      </w:r>
      <w:r>
        <w:rPr>
          <w:spacing w:val="-2"/>
          <w:sz w:val="24"/>
        </w:rPr>
        <w:t xml:space="preserve"> </w:t>
      </w:r>
      <w:r>
        <w:rPr>
          <w:sz w:val="24"/>
        </w:rPr>
        <w:t>může</w:t>
      </w:r>
      <w:r>
        <w:rPr>
          <w:spacing w:val="-3"/>
          <w:sz w:val="24"/>
        </w:rPr>
        <w:t xml:space="preserve"> </w:t>
      </w:r>
      <w:r>
        <w:rPr>
          <w:sz w:val="24"/>
        </w:rPr>
        <w:t>být</w:t>
      </w:r>
      <w:r>
        <w:rPr>
          <w:spacing w:val="-2"/>
          <w:sz w:val="24"/>
        </w:rPr>
        <w:t xml:space="preserve"> </w:t>
      </w:r>
      <w:r>
        <w:rPr>
          <w:sz w:val="24"/>
        </w:rPr>
        <w:t>zaplacen</w:t>
      </w:r>
      <w:r>
        <w:rPr>
          <w:spacing w:val="-2"/>
          <w:sz w:val="24"/>
        </w:rPr>
        <w:t xml:space="preserve"> </w:t>
      </w:r>
      <w:r>
        <w:rPr>
          <w:sz w:val="24"/>
        </w:rPr>
        <w:t>též</w:t>
      </w:r>
      <w:r>
        <w:rPr>
          <w:spacing w:val="-2"/>
          <w:sz w:val="24"/>
        </w:rPr>
        <w:t xml:space="preserve"> </w:t>
      </w:r>
      <w:r>
        <w:rPr>
          <w:sz w:val="24"/>
        </w:rPr>
        <w:t>jednorázově nejpozději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>31.</w:t>
      </w:r>
      <w:r>
        <w:rPr>
          <w:spacing w:val="-4"/>
          <w:sz w:val="24"/>
        </w:rPr>
        <w:t xml:space="preserve"> </w:t>
      </w:r>
      <w:r>
        <w:rPr>
          <w:sz w:val="24"/>
        </w:rPr>
        <w:t>3.</w:t>
      </w:r>
      <w:r>
        <w:rPr>
          <w:spacing w:val="-2"/>
          <w:sz w:val="24"/>
        </w:rPr>
        <w:t xml:space="preserve"> </w:t>
      </w:r>
      <w:r>
        <w:rPr>
          <w:sz w:val="24"/>
        </w:rPr>
        <w:t>příslušného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kalendářního </w:t>
      </w:r>
      <w:r>
        <w:rPr>
          <w:spacing w:val="-2"/>
          <w:sz w:val="24"/>
        </w:rPr>
        <w:t>roku.</w:t>
      </w:r>
    </w:p>
    <w:p w:rsidR="00A2555B" w:rsidRDefault="00A2555B" w:rsidP="00A2555B">
      <w:pPr>
        <w:pStyle w:val="Odstavecseseznamem"/>
        <w:numPr>
          <w:ilvl w:val="0"/>
          <w:numId w:val="48"/>
        </w:numPr>
        <w:tabs>
          <w:tab w:val="left" w:pos="358"/>
        </w:tabs>
        <w:ind w:left="357" w:hanging="357"/>
        <w:rPr>
          <w:sz w:val="24"/>
        </w:rPr>
      </w:pPr>
      <w:r>
        <w:rPr>
          <w:sz w:val="24"/>
        </w:rPr>
        <w:t>V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případě vzniku poplatkové povinnosti (nebo zániku osvobození nebo úlevy) po 16. 12. příslušného kalendářního roku, je poměrná výše poplatku dle čl. </w:t>
      </w:r>
      <w:r w:rsidR="00F94BE2">
        <w:rPr>
          <w:sz w:val="24"/>
        </w:rPr>
        <w:t>4 splatná nejpozději do 15.</w:t>
      </w:r>
      <w:r w:rsidR="00A5589A">
        <w:rPr>
          <w:sz w:val="24"/>
        </w:rPr>
        <w:t> </w:t>
      </w:r>
      <w:r w:rsidR="00F94BE2">
        <w:rPr>
          <w:sz w:val="24"/>
        </w:rPr>
        <w:t xml:space="preserve">ledna </w:t>
      </w:r>
      <w:r>
        <w:rPr>
          <w:sz w:val="24"/>
        </w:rPr>
        <w:t xml:space="preserve">bezprostředně </w:t>
      </w:r>
      <w:r w:rsidR="00F94BE2">
        <w:rPr>
          <w:sz w:val="24"/>
        </w:rPr>
        <w:t>následujícího kalendářního roku</w:t>
      </w:r>
      <w:r>
        <w:rPr>
          <w:sz w:val="24"/>
        </w:rPr>
        <w:t>.</w:t>
      </w:r>
    </w:p>
    <w:p w:rsidR="00A2555B" w:rsidRDefault="00A2555B" w:rsidP="00A2555B">
      <w:pPr>
        <w:pStyle w:val="Odstavecseseznamem"/>
        <w:numPr>
          <w:ilvl w:val="0"/>
          <w:numId w:val="48"/>
        </w:numPr>
        <w:tabs>
          <w:tab w:val="left" w:pos="358"/>
        </w:tabs>
        <w:ind w:left="357" w:hanging="357"/>
        <w:rPr>
          <w:sz w:val="24"/>
        </w:rPr>
      </w:pPr>
      <w:r>
        <w:rPr>
          <w:sz w:val="24"/>
        </w:rPr>
        <w:t xml:space="preserve">Lhůta splatnosti neskončí poplatníkovi dříve než lhůta pro podání ohlášení podle čl. 3 této </w:t>
      </w:r>
      <w:r>
        <w:rPr>
          <w:spacing w:val="-2"/>
          <w:sz w:val="24"/>
        </w:rPr>
        <w:t>vyhlášky.</w:t>
      </w:r>
    </w:p>
    <w:p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:rsidR="00561E02" w:rsidRPr="00A008A0" w:rsidRDefault="00A03858" w:rsidP="00561E02">
      <w:pPr>
        <w:tabs>
          <w:tab w:val="left" w:pos="3780"/>
        </w:tabs>
        <w:jc w:val="center"/>
        <w:rPr>
          <w:b/>
        </w:rPr>
      </w:pPr>
      <w:r w:rsidRPr="00A008A0">
        <w:rPr>
          <w:b/>
        </w:rPr>
        <w:t xml:space="preserve">Článek </w:t>
      </w:r>
      <w:r w:rsidR="003317C2" w:rsidRPr="00A008A0">
        <w:rPr>
          <w:b/>
        </w:rPr>
        <w:t>7</w:t>
      </w:r>
      <w:r w:rsidRPr="00A008A0">
        <w:rPr>
          <w:b/>
        </w:rPr>
        <w:br/>
      </w:r>
      <w:r w:rsidR="00561E02" w:rsidRPr="00A008A0">
        <w:rPr>
          <w:b/>
        </w:rPr>
        <w:t>Zrušovací ustanovení</w:t>
      </w:r>
    </w:p>
    <w:p w:rsidR="00561E02" w:rsidRPr="00A008A0" w:rsidRDefault="00561E02" w:rsidP="00561E02">
      <w:pPr>
        <w:tabs>
          <w:tab w:val="left" w:pos="3780"/>
        </w:tabs>
        <w:jc w:val="both"/>
        <w:rPr>
          <w:sz w:val="22"/>
        </w:rPr>
      </w:pPr>
    </w:p>
    <w:p w:rsidR="00EA606E" w:rsidRPr="00814C64" w:rsidRDefault="00BC30AA" w:rsidP="00EA606E">
      <w:pPr>
        <w:tabs>
          <w:tab w:val="left" w:pos="3780"/>
        </w:tabs>
        <w:jc w:val="both"/>
      </w:pPr>
      <w:r w:rsidRPr="00A008A0">
        <w:t xml:space="preserve">Zrušuje se obecně závazná vyhláška č. </w:t>
      </w:r>
      <w:r w:rsidR="00A008A0" w:rsidRPr="00A008A0">
        <w:t>3/</w:t>
      </w:r>
      <w:r w:rsidR="00F94BE2">
        <w:t>2021</w:t>
      </w:r>
      <w:r w:rsidRPr="00A008A0">
        <w:t xml:space="preserve">, o místním poplatku za </w:t>
      </w:r>
      <w:r w:rsidR="00F94BE2">
        <w:t>obecní systém odpadového hospodářství</w:t>
      </w:r>
      <w:r w:rsidRPr="00A008A0">
        <w:t xml:space="preserve">, </w:t>
      </w:r>
      <w:r w:rsidR="003317C2" w:rsidRPr="00A008A0">
        <w:t xml:space="preserve">ze dne </w:t>
      </w:r>
      <w:r w:rsidR="00F94BE2">
        <w:t>15. 11. 2021</w:t>
      </w:r>
      <w:r w:rsidR="00A008A0" w:rsidRPr="00A008A0">
        <w:t>.</w:t>
      </w:r>
    </w:p>
    <w:p w:rsidR="00561E02" w:rsidRPr="00814C64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3317C2" w:rsidRPr="00814C64">
        <w:rPr>
          <w:b/>
        </w:rPr>
        <w:t>8</w:t>
      </w:r>
    </w:p>
    <w:p w:rsidR="00561E02" w:rsidRPr="00814C64" w:rsidRDefault="00561E02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>Účinnost</w:t>
      </w:r>
    </w:p>
    <w:p w:rsidR="00561E02" w:rsidRPr="00814C64" w:rsidRDefault="00561E02" w:rsidP="00561E02">
      <w:pPr>
        <w:tabs>
          <w:tab w:val="left" w:pos="3780"/>
        </w:tabs>
        <w:jc w:val="both"/>
      </w:pPr>
    </w:p>
    <w:p w:rsidR="001A2E6D" w:rsidRPr="00814C64" w:rsidRDefault="001A2E6D" w:rsidP="001A2E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A008A0">
        <w:rPr>
          <w:rFonts w:ascii="Times New Roman" w:hAnsi="Times New Roman" w:cs="Times New Roman"/>
        </w:rPr>
        <w:t xml:space="preserve">Tato vyhláška nabývá účinnosti </w:t>
      </w:r>
      <w:r w:rsidR="00DF5A23" w:rsidRPr="00A008A0">
        <w:rPr>
          <w:rFonts w:ascii="Times New Roman" w:hAnsi="Times New Roman" w:cs="Times New Roman"/>
        </w:rPr>
        <w:t xml:space="preserve">dnem 1. 1. </w:t>
      </w:r>
      <w:r w:rsidR="00A2555B">
        <w:rPr>
          <w:rFonts w:ascii="Times New Roman" w:hAnsi="Times New Roman" w:cs="Times New Roman"/>
        </w:rPr>
        <w:t>2023</w:t>
      </w:r>
      <w:r w:rsidRPr="00A008A0">
        <w:rPr>
          <w:rFonts w:ascii="Times New Roman" w:hAnsi="Times New Roman" w:cs="Times New Roman"/>
        </w:rPr>
        <w:t>.</w:t>
      </w:r>
    </w:p>
    <w:p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F67DB1" w:rsidRDefault="00F67DB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F67DB1" w:rsidRDefault="00F67DB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:rsidR="004432C5" w:rsidRPr="00814C64" w:rsidRDefault="004432C5" w:rsidP="004432C5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4432C5" w:rsidRPr="00A008A0" w:rsidTr="00042CE4">
        <w:trPr>
          <w:trHeight w:val="80"/>
          <w:jc w:val="center"/>
        </w:trPr>
        <w:tc>
          <w:tcPr>
            <w:tcW w:w="4605" w:type="dxa"/>
          </w:tcPr>
          <w:p w:rsidR="004432C5" w:rsidRPr="00A008A0" w:rsidRDefault="00F94BE2" w:rsidP="00042CE4">
            <w:pPr>
              <w:jc w:val="center"/>
            </w:pPr>
            <w:r>
              <w:t>_______________________________</w:t>
            </w:r>
          </w:p>
        </w:tc>
        <w:tc>
          <w:tcPr>
            <w:tcW w:w="4605" w:type="dxa"/>
          </w:tcPr>
          <w:p w:rsidR="004432C5" w:rsidRPr="00A008A0" w:rsidRDefault="00F94BE2" w:rsidP="00042CE4">
            <w:pPr>
              <w:jc w:val="center"/>
            </w:pPr>
            <w:r>
              <w:t>_______________________________</w:t>
            </w:r>
          </w:p>
        </w:tc>
      </w:tr>
      <w:tr w:rsidR="004432C5" w:rsidRPr="00814C64" w:rsidTr="00042CE4">
        <w:trPr>
          <w:jc w:val="center"/>
        </w:trPr>
        <w:tc>
          <w:tcPr>
            <w:tcW w:w="4605" w:type="dxa"/>
          </w:tcPr>
          <w:p w:rsidR="004432C5" w:rsidRPr="00A008A0" w:rsidRDefault="00A008A0" w:rsidP="00042CE4">
            <w:pPr>
              <w:jc w:val="center"/>
            </w:pPr>
            <w:r w:rsidRPr="00A008A0">
              <w:t>David D</w:t>
            </w:r>
            <w:r w:rsidR="00182E40">
              <w:t>i</w:t>
            </w:r>
            <w:r w:rsidRPr="00A008A0">
              <w:t>nda</w:t>
            </w:r>
            <w:r w:rsidR="00F94BE2">
              <w:t>, v. r.</w:t>
            </w:r>
          </w:p>
          <w:p w:rsidR="004432C5" w:rsidRPr="00A008A0" w:rsidRDefault="00182E40" w:rsidP="00182E40">
            <w:r>
              <w:t xml:space="preserve">                 </w:t>
            </w:r>
            <w:r w:rsidR="00A008A0" w:rsidRPr="00A008A0">
              <w:t>1. náměstek primátora</w:t>
            </w:r>
          </w:p>
        </w:tc>
        <w:tc>
          <w:tcPr>
            <w:tcW w:w="4605" w:type="dxa"/>
          </w:tcPr>
          <w:p w:rsidR="00814C64" w:rsidRPr="00A008A0" w:rsidRDefault="00A008A0" w:rsidP="00814C64">
            <w:pPr>
              <w:jc w:val="center"/>
            </w:pPr>
            <w:r w:rsidRPr="00A008A0">
              <w:t>JUDr. Marek Hrabáč</w:t>
            </w:r>
            <w:r w:rsidR="00F94BE2">
              <w:t>, v. r.</w:t>
            </w:r>
          </w:p>
          <w:p w:rsidR="004432C5" w:rsidRPr="00814C64" w:rsidRDefault="00A008A0" w:rsidP="00042CE4">
            <w:pPr>
              <w:jc w:val="center"/>
            </w:pPr>
            <w:r w:rsidRPr="00A008A0">
              <w:t>primátor</w:t>
            </w:r>
          </w:p>
        </w:tc>
      </w:tr>
    </w:tbl>
    <w:p w:rsidR="00FA44A1" w:rsidRPr="00561E02" w:rsidRDefault="00FA44A1" w:rsidP="00276971"/>
    <w:sectPr w:rsidR="00FA44A1" w:rsidRPr="00561E02" w:rsidSect="00BF4E7B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59A4" w:rsidRDefault="006659A4">
      <w:r>
        <w:separator/>
      </w:r>
    </w:p>
  </w:endnote>
  <w:endnote w:type="continuationSeparator" w:id="0">
    <w:p w:rsidR="006659A4" w:rsidRDefault="006659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59A4" w:rsidRDefault="006659A4">
      <w:r>
        <w:separator/>
      </w:r>
    </w:p>
  </w:footnote>
  <w:footnote w:type="continuationSeparator" w:id="0">
    <w:p w:rsidR="006659A4" w:rsidRDefault="006659A4">
      <w:r>
        <w:continuationSeparator/>
      </w:r>
    </w:p>
  </w:footnote>
  <w:footnote w:id="1">
    <w:p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:rsidR="00F234B6" w:rsidRPr="00527AE6" w:rsidRDefault="00F234B6" w:rsidP="00F234B6">
      <w:pPr>
        <w:pStyle w:val="Textpoznpodarou"/>
        <w:ind w:left="198" w:hanging="198"/>
        <w:jc w:val="both"/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1 zákona o místních poplatcích (</w:t>
      </w:r>
      <w:r w:rsidRPr="00ED6F28">
        <w:rPr>
          <w:i/>
        </w:rPr>
        <w:t xml:space="preserve">Poplatník nebo plátce poplatku je povinen podat správci poplatku </w:t>
      </w:r>
      <w:r w:rsidRPr="00527AE6">
        <w:rPr>
          <w:i/>
        </w:rPr>
        <w:t>ohlášení, nevyloučí-li obec tuto povinnost v obecně závazné vyhlášce.</w:t>
      </w:r>
      <w:r w:rsidRPr="00527AE6">
        <w:t>)</w:t>
      </w:r>
    </w:p>
  </w:footnote>
  <w:footnote w:id="11">
    <w:p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2">
    <w:p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  <w:footnote w:id="13">
    <w:p w:rsidR="00FA2706" w:rsidRPr="00644D6E" w:rsidRDefault="00FA2706" w:rsidP="00FA2706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>
        <w:rPr>
          <w:vertAlign w:val="superscript"/>
        </w:rPr>
        <w:t xml:space="preserve"> </w:t>
      </w:r>
      <w:r>
        <w:t>tím není dotčeno zákonné osvobození (např. z důvodu pobytu v zařízeních uvedených v § 10</w:t>
      </w:r>
      <w:r w:rsidR="0072676B">
        <w:t>g</w:t>
      </w:r>
      <w:r>
        <w:t xml:space="preserve"> </w:t>
      </w:r>
      <w:r w:rsidR="0072676B">
        <w:t>písm. d)</w:t>
      </w:r>
      <w:r>
        <w:t xml:space="preserve"> zákona o místních poplatcích)</w:t>
      </w:r>
    </w:p>
  </w:footnote>
  <w:footnote w:id="14">
    <w:p w:rsidR="00F67DB1" w:rsidRPr="00F4262A" w:rsidRDefault="00F67DB1" w:rsidP="00F67DB1">
      <w:pPr>
        <w:pStyle w:val="Textpoznpodarou"/>
        <w:ind w:left="170" w:hanging="170"/>
        <w:jc w:val="both"/>
      </w:pPr>
      <w:r w:rsidRPr="00F4262A">
        <w:rPr>
          <w:rStyle w:val="Znakypropoznmku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34 zákona č. 329/2011 Sb., o poskytování dávek osobám se zdravotním postižením a o změně souvisejících zákonů, ve znění pozdějších předpisů</w:t>
      </w:r>
    </w:p>
  </w:footnote>
  <w:footnote w:id="15">
    <w:p w:rsidR="00F67DB1" w:rsidRPr="00F4262A" w:rsidRDefault="00F67DB1" w:rsidP="00F67DB1">
      <w:pPr>
        <w:pStyle w:val="Textpoznpodarou"/>
        <w:ind w:left="170" w:hanging="170"/>
        <w:jc w:val="both"/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tuto skutečnost lze doložit např. pracovním povolením, potvrzením o studiu, potvrzením o pobytu, potvrzením zaměstnavatele o služební cestě apod.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9" w15:restartNumberingAfterBreak="0">
    <w:nsid w:val="14A65BD9"/>
    <w:multiLevelType w:val="hybridMultilevel"/>
    <w:tmpl w:val="DB96B954"/>
    <w:lvl w:ilvl="0" w:tplc="3F3098B6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6E5ADC"/>
    <w:multiLevelType w:val="hybridMultilevel"/>
    <w:tmpl w:val="6B16AF58"/>
    <w:lvl w:ilvl="0" w:tplc="3CA630EC">
      <w:start w:val="1"/>
      <w:numFmt w:val="decimal"/>
      <w:lvlText w:val="%1)"/>
      <w:lvlJc w:val="left"/>
      <w:pPr>
        <w:ind w:left="784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A70E52CE">
      <w:start w:val="1"/>
      <w:numFmt w:val="lowerLetter"/>
      <w:lvlText w:val="%2)"/>
      <w:lvlJc w:val="left"/>
      <w:pPr>
        <w:ind w:left="687" w:hanging="226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cs-CZ" w:eastAsia="en-US" w:bidi="ar-SA"/>
      </w:rPr>
    </w:lvl>
    <w:lvl w:ilvl="2" w:tplc="24702C74">
      <w:numFmt w:val="bullet"/>
      <w:lvlText w:val="•"/>
      <w:lvlJc w:val="left"/>
      <w:pPr>
        <w:ind w:left="1638" w:hanging="226"/>
      </w:pPr>
      <w:rPr>
        <w:rFonts w:hint="default"/>
        <w:lang w:val="cs-CZ" w:eastAsia="en-US" w:bidi="ar-SA"/>
      </w:rPr>
    </w:lvl>
    <w:lvl w:ilvl="3" w:tplc="B73CF650">
      <w:numFmt w:val="bullet"/>
      <w:lvlText w:val="•"/>
      <w:lvlJc w:val="left"/>
      <w:pPr>
        <w:ind w:left="2596" w:hanging="226"/>
      </w:pPr>
      <w:rPr>
        <w:rFonts w:hint="default"/>
        <w:lang w:val="cs-CZ" w:eastAsia="en-US" w:bidi="ar-SA"/>
      </w:rPr>
    </w:lvl>
    <w:lvl w:ilvl="4" w:tplc="22CA1014">
      <w:numFmt w:val="bullet"/>
      <w:lvlText w:val="•"/>
      <w:lvlJc w:val="left"/>
      <w:pPr>
        <w:ind w:left="3555" w:hanging="226"/>
      </w:pPr>
      <w:rPr>
        <w:rFonts w:hint="default"/>
        <w:lang w:val="cs-CZ" w:eastAsia="en-US" w:bidi="ar-SA"/>
      </w:rPr>
    </w:lvl>
    <w:lvl w:ilvl="5" w:tplc="0E58C4A4">
      <w:numFmt w:val="bullet"/>
      <w:lvlText w:val="•"/>
      <w:lvlJc w:val="left"/>
      <w:pPr>
        <w:ind w:left="4513" w:hanging="226"/>
      </w:pPr>
      <w:rPr>
        <w:rFonts w:hint="default"/>
        <w:lang w:val="cs-CZ" w:eastAsia="en-US" w:bidi="ar-SA"/>
      </w:rPr>
    </w:lvl>
    <w:lvl w:ilvl="6" w:tplc="458A19BC">
      <w:numFmt w:val="bullet"/>
      <w:lvlText w:val="•"/>
      <w:lvlJc w:val="left"/>
      <w:pPr>
        <w:ind w:left="5472" w:hanging="226"/>
      </w:pPr>
      <w:rPr>
        <w:rFonts w:hint="default"/>
        <w:lang w:val="cs-CZ" w:eastAsia="en-US" w:bidi="ar-SA"/>
      </w:rPr>
    </w:lvl>
    <w:lvl w:ilvl="7" w:tplc="C12E8C6C">
      <w:numFmt w:val="bullet"/>
      <w:lvlText w:val="•"/>
      <w:lvlJc w:val="left"/>
      <w:pPr>
        <w:ind w:left="6430" w:hanging="226"/>
      </w:pPr>
      <w:rPr>
        <w:rFonts w:hint="default"/>
        <w:lang w:val="cs-CZ" w:eastAsia="en-US" w:bidi="ar-SA"/>
      </w:rPr>
    </w:lvl>
    <w:lvl w:ilvl="8" w:tplc="90B61C9C">
      <w:numFmt w:val="bullet"/>
      <w:lvlText w:val="•"/>
      <w:lvlJc w:val="left"/>
      <w:pPr>
        <w:ind w:left="7389" w:hanging="226"/>
      </w:pPr>
      <w:rPr>
        <w:rFonts w:hint="default"/>
        <w:lang w:val="cs-CZ" w:eastAsia="en-US" w:bidi="ar-SA"/>
      </w:rPr>
    </w:lvl>
  </w:abstractNum>
  <w:abstractNum w:abstractNumId="14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9" w15:restartNumberingAfterBreak="0">
    <w:nsid w:val="2AAD7614"/>
    <w:multiLevelType w:val="hybridMultilevel"/>
    <w:tmpl w:val="4C8AA988"/>
    <w:lvl w:ilvl="0" w:tplc="04050017">
      <w:start w:val="1"/>
      <w:numFmt w:val="lowerLetter"/>
      <w:lvlText w:val="%1)"/>
      <w:lvlJc w:val="left"/>
      <w:pPr>
        <w:ind w:left="1196" w:hanging="360"/>
      </w:pPr>
    </w:lvl>
    <w:lvl w:ilvl="1" w:tplc="04050019" w:tentative="1">
      <w:start w:val="1"/>
      <w:numFmt w:val="lowerLetter"/>
      <w:lvlText w:val="%2."/>
      <w:lvlJc w:val="left"/>
      <w:pPr>
        <w:ind w:left="1916" w:hanging="360"/>
      </w:pPr>
    </w:lvl>
    <w:lvl w:ilvl="2" w:tplc="0405001B" w:tentative="1">
      <w:start w:val="1"/>
      <w:numFmt w:val="lowerRoman"/>
      <w:lvlText w:val="%3."/>
      <w:lvlJc w:val="right"/>
      <w:pPr>
        <w:ind w:left="2636" w:hanging="180"/>
      </w:pPr>
    </w:lvl>
    <w:lvl w:ilvl="3" w:tplc="0405000F" w:tentative="1">
      <w:start w:val="1"/>
      <w:numFmt w:val="decimal"/>
      <w:lvlText w:val="%4."/>
      <w:lvlJc w:val="left"/>
      <w:pPr>
        <w:ind w:left="3356" w:hanging="360"/>
      </w:pPr>
    </w:lvl>
    <w:lvl w:ilvl="4" w:tplc="04050019" w:tentative="1">
      <w:start w:val="1"/>
      <w:numFmt w:val="lowerLetter"/>
      <w:lvlText w:val="%5."/>
      <w:lvlJc w:val="left"/>
      <w:pPr>
        <w:ind w:left="4076" w:hanging="360"/>
      </w:pPr>
    </w:lvl>
    <w:lvl w:ilvl="5" w:tplc="0405001B" w:tentative="1">
      <w:start w:val="1"/>
      <w:numFmt w:val="lowerRoman"/>
      <w:lvlText w:val="%6."/>
      <w:lvlJc w:val="right"/>
      <w:pPr>
        <w:ind w:left="4796" w:hanging="180"/>
      </w:pPr>
    </w:lvl>
    <w:lvl w:ilvl="6" w:tplc="0405000F" w:tentative="1">
      <w:start w:val="1"/>
      <w:numFmt w:val="decimal"/>
      <w:lvlText w:val="%7."/>
      <w:lvlJc w:val="left"/>
      <w:pPr>
        <w:ind w:left="5516" w:hanging="360"/>
      </w:pPr>
    </w:lvl>
    <w:lvl w:ilvl="7" w:tplc="04050019" w:tentative="1">
      <w:start w:val="1"/>
      <w:numFmt w:val="lowerLetter"/>
      <w:lvlText w:val="%8."/>
      <w:lvlJc w:val="left"/>
      <w:pPr>
        <w:ind w:left="6236" w:hanging="360"/>
      </w:pPr>
    </w:lvl>
    <w:lvl w:ilvl="8" w:tplc="0405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0" w15:restartNumberingAfterBreak="0">
    <w:nsid w:val="2FAE6B73"/>
    <w:multiLevelType w:val="hybridMultilevel"/>
    <w:tmpl w:val="B0B83A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1B6B8C"/>
    <w:multiLevelType w:val="hybridMultilevel"/>
    <w:tmpl w:val="4B88EDB2"/>
    <w:lvl w:ilvl="0" w:tplc="3516E5C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3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E915C09"/>
    <w:multiLevelType w:val="hybridMultilevel"/>
    <w:tmpl w:val="04880D6E"/>
    <w:lvl w:ilvl="0" w:tplc="7820DADC">
      <w:start w:val="1"/>
      <w:numFmt w:val="decimal"/>
      <w:lvlText w:val="%1)"/>
      <w:lvlJc w:val="left"/>
      <w:pPr>
        <w:ind w:left="476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cs-CZ" w:eastAsia="en-US" w:bidi="ar-SA"/>
      </w:rPr>
    </w:lvl>
    <w:lvl w:ilvl="1" w:tplc="DC8C82EC">
      <w:start w:val="1"/>
      <w:numFmt w:val="lowerLetter"/>
      <w:lvlText w:val="%2)"/>
      <w:lvlJc w:val="left"/>
      <w:pPr>
        <w:ind w:left="838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9"/>
        <w:sz w:val="24"/>
        <w:szCs w:val="24"/>
        <w:lang w:val="cs-CZ" w:eastAsia="en-US" w:bidi="ar-SA"/>
      </w:rPr>
    </w:lvl>
    <w:lvl w:ilvl="2" w:tplc="31FABE9E">
      <w:numFmt w:val="bullet"/>
      <w:lvlText w:val="•"/>
      <w:lvlJc w:val="left"/>
      <w:pPr>
        <w:ind w:left="1780" w:hanging="363"/>
      </w:pPr>
      <w:rPr>
        <w:rFonts w:hint="default"/>
        <w:lang w:val="cs-CZ" w:eastAsia="en-US" w:bidi="ar-SA"/>
      </w:rPr>
    </w:lvl>
    <w:lvl w:ilvl="3" w:tplc="4A200172">
      <w:numFmt w:val="bullet"/>
      <w:lvlText w:val="•"/>
      <w:lvlJc w:val="left"/>
      <w:pPr>
        <w:ind w:left="2721" w:hanging="363"/>
      </w:pPr>
      <w:rPr>
        <w:rFonts w:hint="default"/>
        <w:lang w:val="cs-CZ" w:eastAsia="en-US" w:bidi="ar-SA"/>
      </w:rPr>
    </w:lvl>
    <w:lvl w:ilvl="4" w:tplc="D55490DA">
      <w:numFmt w:val="bullet"/>
      <w:lvlText w:val="•"/>
      <w:lvlJc w:val="left"/>
      <w:pPr>
        <w:ind w:left="3662" w:hanging="363"/>
      </w:pPr>
      <w:rPr>
        <w:rFonts w:hint="default"/>
        <w:lang w:val="cs-CZ" w:eastAsia="en-US" w:bidi="ar-SA"/>
      </w:rPr>
    </w:lvl>
    <w:lvl w:ilvl="5" w:tplc="5D20271A">
      <w:numFmt w:val="bullet"/>
      <w:lvlText w:val="•"/>
      <w:lvlJc w:val="left"/>
      <w:pPr>
        <w:ind w:left="4602" w:hanging="363"/>
      </w:pPr>
      <w:rPr>
        <w:rFonts w:hint="default"/>
        <w:lang w:val="cs-CZ" w:eastAsia="en-US" w:bidi="ar-SA"/>
      </w:rPr>
    </w:lvl>
    <w:lvl w:ilvl="6" w:tplc="85EAF96E">
      <w:numFmt w:val="bullet"/>
      <w:lvlText w:val="•"/>
      <w:lvlJc w:val="left"/>
      <w:pPr>
        <w:ind w:left="5543" w:hanging="363"/>
      </w:pPr>
      <w:rPr>
        <w:rFonts w:hint="default"/>
        <w:lang w:val="cs-CZ" w:eastAsia="en-US" w:bidi="ar-SA"/>
      </w:rPr>
    </w:lvl>
    <w:lvl w:ilvl="7" w:tplc="AD5ACE66">
      <w:numFmt w:val="bullet"/>
      <w:lvlText w:val="•"/>
      <w:lvlJc w:val="left"/>
      <w:pPr>
        <w:ind w:left="6484" w:hanging="363"/>
      </w:pPr>
      <w:rPr>
        <w:rFonts w:hint="default"/>
        <w:lang w:val="cs-CZ" w:eastAsia="en-US" w:bidi="ar-SA"/>
      </w:rPr>
    </w:lvl>
    <w:lvl w:ilvl="8" w:tplc="D068BA40">
      <w:numFmt w:val="bullet"/>
      <w:lvlText w:val="•"/>
      <w:lvlJc w:val="left"/>
      <w:pPr>
        <w:ind w:left="7424" w:hanging="363"/>
      </w:pPr>
      <w:rPr>
        <w:rFonts w:hint="default"/>
        <w:lang w:val="cs-CZ" w:eastAsia="en-US" w:bidi="ar-SA"/>
      </w:rPr>
    </w:lvl>
  </w:abstractNum>
  <w:abstractNum w:abstractNumId="48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6"/>
  </w:num>
  <w:num w:numId="2">
    <w:abstractNumId w:val="18"/>
  </w:num>
  <w:num w:numId="3">
    <w:abstractNumId w:val="15"/>
  </w:num>
  <w:num w:numId="4">
    <w:abstractNumId w:val="3"/>
  </w:num>
  <w:num w:numId="5">
    <w:abstractNumId w:val="4"/>
  </w:num>
  <w:num w:numId="6">
    <w:abstractNumId w:val="44"/>
  </w:num>
  <w:num w:numId="7">
    <w:abstractNumId w:val="12"/>
  </w:num>
  <w:num w:numId="8">
    <w:abstractNumId w:val="42"/>
  </w:num>
  <w:num w:numId="9">
    <w:abstractNumId w:val="1"/>
  </w:num>
  <w:num w:numId="10">
    <w:abstractNumId w:val="17"/>
  </w:num>
  <w:num w:numId="11">
    <w:abstractNumId w:val="40"/>
  </w:num>
  <w:num w:numId="12">
    <w:abstractNumId w:val="43"/>
  </w:num>
  <w:num w:numId="13">
    <w:abstractNumId w:val="34"/>
  </w:num>
  <w:num w:numId="14">
    <w:abstractNumId w:val="36"/>
  </w:num>
  <w:num w:numId="15">
    <w:abstractNumId w:val="5"/>
  </w:num>
  <w:num w:numId="16">
    <w:abstractNumId w:val="48"/>
  </w:num>
  <w:num w:numId="17">
    <w:abstractNumId w:val="33"/>
  </w:num>
  <w:num w:numId="18">
    <w:abstractNumId w:val="6"/>
  </w:num>
  <w:num w:numId="19">
    <w:abstractNumId w:val="27"/>
  </w:num>
  <w:num w:numId="20">
    <w:abstractNumId w:val="45"/>
  </w:num>
  <w:num w:numId="21">
    <w:abstractNumId w:val="38"/>
  </w:num>
  <w:num w:numId="22">
    <w:abstractNumId w:val="24"/>
  </w:num>
  <w:num w:numId="2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21"/>
  </w:num>
  <w:num w:numId="26">
    <w:abstractNumId w:val="25"/>
  </w:num>
  <w:num w:numId="27">
    <w:abstractNumId w:val="37"/>
  </w:num>
  <w:num w:numId="28">
    <w:abstractNumId w:val="0"/>
  </w:num>
  <w:num w:numId="29">
    <w:abstractNumId w:val="29"/>
  </w:num>
  <w:num w:numId="30">
    <w:abstractNumId w:val="2"/>
  </w:num>
  <w:num w:numId="31">
    <w:abstractNumId w:val="16"/>
  </w:num>
  <w:num w:numId="32">
    <w:abstractNumId w:val="7"/>
  </w:num>
  <w:num w:numId="33">
    <w:abstractNumId w:val="41"/>
  </w:num>
  <w:num w:numId="34">
    <w:abstractNumId w:val="31"/>
  </w:num>
  <w:num w:numId="35">
    <w:abstractNumId w:val="22"/>
  </w:num>
  <w:num w:numId="36">
    <w:abstractNumId w:val="23"/>
  </w:num>
  <w:num w:numId="37">
    <w:abstractNumId w:val="39"/>
  </w:num>
  <w:num w:numId="38">
    <w:abstractNumId w:val="30"/>
  </w:num>
  <w:num w:numId="39">
    <w:abstractNumId w:val="11"/>
  </w:num>
  <w:num w:numId="40">
    <w:abstractNumId w:val="8"/>
  </w:num>
  <w:num w:numId="41">
    <w:abstractNumId w:val="26"/>
  </w:num>
  <w:num w:numId="42">
    <w:abstractNumId w:val="32"/>
  </w:num>
  <w:num w:numId="43">
    <w:abstractNumId w:val="10"/>
  </w:num>
  <w:num w:numId="44">
    <w:abstractNumId w:val="28"/>
  </w:num>
  <w:num w:numId="45">
    <w:abstractNumId w:val="9"/>
  </w:num>
  <w:num w:numId="46">
    <w:abstractNumId w:val="47"/>
  </w:num>
  <w:num w:numId="47">
    <w:abstractNumId w:val="19"/>
  </w:num>
  <w:num w:numId="48">
    <w:abstractNumId w:val="13"/>
  </w:num>
  <w:num w:numId="4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E02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446F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0F36CB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405"/>
    <w:rsid w:val="00182C7E"/>
    <w:rsid w:val="00182E40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1F0584"/>
    <w:rsid w:val="0020015A"/>
    <w:rsid w:val="0020023A"/>
    <w:rsid w:val="00222085"/>
    <w:rsid w:val="00225DD8"/>
    <w:rsid w:val="002406DC"/>
    <w:rsid w:val="00251974"/>
    <w:rsid w:val="00255DE2"/>
    <w:rsid w:val="0026674B"/>
    <w:rsid w:val="00266882"/>
    <w:rsid w:val="00276971"/>
    <w:rsid w:val="0028494E"/>
    <w:rsid w:val="00285BAE"/>
    <w:rsid w:val="002E773F"/>
    <w:rsid w:val="002F1392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6C2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A7F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2245"/>
    <w:rsid w:val="00434485"/>
    <w:rsid w:val="004432C5"/>
    <w:rsid w:val="00443B31"/>
    <w:rsid w:val="00463727"/>
    <w:rsid w:val="00470FC3"/>
    <w:rsid w:val="0047486B"/>
    <w:rsid w:val="00475362"/>
    <w:rsid w:val="00482EDE"/>
    <w:rsid w:val="0049318A"/>
    <w:rsid w:val="004A122B"/>
    <w:rsid w:val="004D11FF"/>
    <w:rsid w:val="004D1231"/>
    <w:rsid w:val="004D40B8"/>
    <w:rsid w:val="004D67E6"/>
    <w:rsid w:val="004F181D"/>
    <w:rsid w:val="004F2D92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7D45"/>
    <w:rsid w:val="00600042"/>
    <w:rsid w:val="0060075F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59A4"/>
    <w:rsid w:val="006675A8"/>
    <w:rsid w:val="006A4CF1"/>
    <w:rsid w:val="006C1E22"/>
    <w:rsid w:val="006C2CF0"/>
    <w:rsid w:val="006D759B"/>
    <w:rsid w:val="006E2B5B"/>
    <w:rsid w:val="006E391F"/>
    <w:rsid w:val="00703C19"/>
    <w:rsid w:val="0072122F"/>
    <w:rsid w:val="0072676B"/>
    <w:rsid w:val="007342BB"/>
    <w:rsid w:val="00735D10"/>
    <w:rsid w:val="00740C83"/>
    <w:rsid w:val="00747550"/>
    <w:rsid w:val="00750241"/>
    <w:rsid w:val="00767C2B"/>
    <w:rsid w:val="007749FB"/>
    <w:rsid w:val="007820D7"/>
    <w:rsid w:val="007A5C5E"/>
    <w:rsid w:val="007B54F8"/>
    <w:rsid w:val="007D3D13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3686"/>
    <w:rsid w:val="0092391F"/>
    <w:rsid w:val="00930DA0"/>
    <w:rsid w:val="00935B06"/>
    <w:rsid w:val="00941400"/>
    <w:rsid w:val="009420BF"/>
    <w:rsid w:val="00961EE9"/>
    <w:rsid w:val="009651DA"/>
    <w:rsid w:val="00996C45"/>
    <w:rsid w:val="0099764F"/>
    <w:rsid w:val="009A1C5A"/>
    <w:rsid w:val="009A2583"/>
    <w:rsid w:val="009A30D2"/>
    <w:rsid w:val="009A326A"/>
    <w:rsid w:val="009B2B8D"/>
    <w:rsid w:val="009D24F2"/>
    <w:rsid w:val="00A008A0"/>
    <w:rsid w:val="00A03858"/>
    <w:rsid w:val="00A04ACB"/>
    <w:rsid w:val="00A2555B"/>
    <w:rsid w:val="00A26CA1"/>
    <w:rsid w:val="00A27162"/>
    <w:rsid w:val="00A51AB2"/>
    <w:rsid w:val="00A5589A"/>
    <w:rsid w:val="00A6442E"/>
    <w:rsid w:val="00A82881"/>
    <w:rsid w:val="00A84BC6"/>
    <w:rsid w:val="00A85DDF"/>
    <w:rsid w:val="00AA14F8"/>
    <w:rsid w:val="00AB670D"/>
    <w:rsid w:val="00B00B3D"/>
    <w:rsid w:val="00B0270C"/>
    <w:rsid w:val="00B143F3"/>
    <w:rsid w:val="00B22247"/>
    <w:rsid w:val="00B41B2C"/>
    <w:rsid w:val="00B526B3"/>
    <w:rsid w:val="00B64FFA"/>
    <w:rsid w:val="00B744C5"/>
    <w:rsid w:val="00B7707F"/>
    <w:rsid w:val="00B804AA"/>
    <w:rsid w:val="00B829BC"/>
    <w:rsid w:val="00B8601B"/>
    <w:rsid w:val="00BA530D"/>
    <w:rsid w:val="00BC30AA"/>
    <w:rsid w:val="00BD03ED"/>
    <w:rsid w:val="00BD66CD"/>
    <w:rsid w:val="00BD76FA"/>
    <w:rsid w:val="00BE3D93"/>
    <w:rsid w:val="00BE67B4"/>
    <w:rsid w:val="00BF4E7B"/>
    <w:rsid w:val="00C00048"/>
    <w:rsid w:val="00C11538"/>
    <w:rsid w:val="00C241D6"/>
    <w:rsid w:val="00C2493C"/>
    <w:rsid w:val="00C2677D"/>
    <w:rsid w:val="00C4432E"/>
    <w:rsid w:val="00C51A52"/>
    <w:rsid w:val="00C661CE"/>
    <w:rsid w:val="00C67625"/>
    <w:rsid w:val="00C77279"/>
    <w:rsid w:val="00C87A3E"/>
    <w:rsid w:val="00C97839"/>
    <w:rsid w:val="00CA372E"/>
    <w:rsid w:val="00CA7FF5"/>
    <w:rsid w:val="00CB4041"/>
    <w:rsid w:val="00CC724C"/>
    <w:rsid w:val="00CE0470"/>
    <w:rsid w:val="00CF1119"/>
    <w:rsid w:val="00D233A2"/>
    <w:rsid w:val="00D26BBB"/>
    <w:rsid w:val="00D33447"/>
    <w:rsid w:val="00D45EC1"/>
    <w:rsid w:val="00D6027C"/>
    <w:rsid w:val="00D603FA"/>
    <w:rsid w:val="00D64CFA"/>
    <w:rsid w:val="00DA00B1"/>
    <w:rsid w:val="00DA22FF"/>
    <w:rsid w:val="00DA77BD"/>
    <w:rsid w:val="00DB256C"/>
    <w:rsid w:val="00DB5457"/>
    <w:rsid w:val="00DB7E85"/>
    <w:rsid w:val="00DD0AC8"/>
    <w:rsid w:val="00DD2771"/>
    <w:rsid w:val="00DD5828"/>
    <w:rsid w:val="00DD66B9"/>
    <w:rsid w:val="00DE345B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048D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0543"/>
    <w:rsid w:val="00EF4279"/>
    <w:rsid w:val="00F12724"/>
    <w:rsid w:val="00F233E8"/>
    <w:rsid w:val="00F234B6"/>
    <w:rsid w:val="00F27460"/>
    <w:rsid w:val="00F35D60"/>
    <w:rsid w:val="00F37563"/>
    <w:rsid w:val="00F67DB1"/>
    <w:rsid w:val="00F7290B"/>
    <w:rsid w:val="00F74E97"/>
    <w:rsid w:val="00F835EE"/>
    <w:rsid w:val="00F85F74"/>
    <w:rsid w:val="00F878E9"/>
    <w:rsid w:val="00F94BE2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2D8720-0BC7-44AE-A365-637F8C4C3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character" w:customStyle="1" w:styleId="Znakypropoznmkupodarou">
    <w:name w:val="Znaky pro poznámku pod čarou"/>
    <w:rsid w:val="00F67DB1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55B"/>
    <w:pPr>
      <w:widowControl w:val="0"/>
      <w:autoSpaceDE w:val="0"/>
      <w:autoSpaceDN w:val="0"/>
      <w:ind w:left="476" w:hanging="358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1F117-D319-4E6A-9868-37679A967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4328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Písaříková Kateřina</cp:lastModifiedBy>
  <cp:revision>2</cp:revision>
  <cp:lastPrinted>2017-12-12T08:42:00Z</cp:lastPrinted>
  <dcterms:created xsi:type="dcterms:W3CDTF">2022-12-13T13:00:00Z</dcterms:created>
  <dcterms:modified xsi:type="dcterms:W3CDTF">2022-12-13T13:00:00Z</dcterms:modified>
</cp:coreProperties>
</file>