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E164" w14:textId="77777777" w:rsidR="00271BCD" w:rsidRPr="00C73203" w:rsidRDefault="00271BCD" w:rsidP="00271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03">
        <w:rPr>
          <w:rFonts w:ascii="Times New Roman" w:hAnsi="Times New Roman" w:cs="Times New Roman"/>
          <w:b/>
          <w:sz w:val="24"/>
          <w:szCs w:val="24"/>
        </w:rPr>
        <w:t>Hlavní město Praha</w:t>
      </w:r>
    </w:p>
    <w:p w14:paraId="41C25E91" w14:textId="77777777" w:rsidR="00271BCD" w:rsidRPr="00C73203" w:rsidRDefault="00271BCD" w:rsidP="00271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03">
        <w:rPr>
          <w:rFonts w:ascii="Times New Roman" w:hAnsi="Times New Roman" w:cs="Times New Roman"/>
          <w:b/>
          <w:sz w:val="24"/>
          <w:szCs w:val="24"/>
        </w:rPr>
        <w:t>Rada hlavního města Prahy</w:t>
      </w:r>
    </w:p>
    <w:p w14:paraId="58B2C514" w14:textId="77777777" w:rsidR="00271BCD" w:rsidRPr="00C73203" w:rsidRDefault="00271BCD" w:rsidP="00F77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0C519" w14:textId="77777777" w:rsidR="00271BCD" w:rsidRPr="00C73203" w:rsidRDefault="00271BCD" w:rsidP="00F77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62CC4" w14:textId="26F7ABBD" w:rsidR="00271BCD" w:rsidRPr="00C73203" w:rsidRDefault="00920D83" w:rsidP="007650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203">
        <w:rPr>
          <w:rFonts w:ascii="Times New Roman" w:hAnsi="Times New Roman" w:cs="Times New Roman"/>
          <w:b/>
          <w:sz w:val="32"/>
          <w:szCs w:val="32"/>
        </w:rPr>
        <w:t>NAŘÍZENÍ</w:t>
      </w:r>
    </w:p>
    <w:p w14:paraId="0099CA6F" w14:textId="19B0A8F0" w:rsidR="00920D83" w:rsidRPr="00C73203" w:rsidRDefault="00920D83" w:rsidP="007650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203">
        <w:rPr>
          <w:rFonts w:ascii="Times New Roman" w:hAnsi="Times New Roman"/>
          <w:b/>
          <w:sz w:val="32"/>
          <w:szCs w:val="32"/>
        </w:rPr>
        <w:t>hlavního města Prahy</w:t>
      </w:r>
      <w:r w:rsidRPr="00C73203">
        <w:rPr>
          <w:rFonts w:ascii="Times New Roman" w:hAnsi="Times New Roman"/>
          <w:sz w:val="32"/>
          <w:szCs w:val="32"/>
        </w:rPr>
        <w:t>,</w:t>
      </w:r>
    </w:p>
    <w:p w14:paraId="0C604F7F" w14:textId="77777777" w:rsidR="00812E76" w:rsidRPr="00C73203" w:rsidRDefault="00812E76" w:rsidP="00765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03">
        <w:rPr>
          <w:rFonts w:ascii="Times New Roman" w:hAnsi="Times New Roman" w:cs="Times New Roman"/>
          <w:b/>
          <w:sz w:val="28"/>
          <w:szCs w:val="28"/>
        </w:rPr>
        <w:t>kterým se mění nařízení č. 26/2005 Sb. hl. m. Prahy, kterým se zakazuje reklama šířená na veřejně přístupných místech mimo provozovnu, ve znění pozdějších předpisů</w:t>
      </w:r>
    </w:p>
    <w:p w14:paraId="65D66B04" w14:textId="77777777" w:rsidR="00271BCD" w:rsidRPr="00C73203" w:rsidRDefault="00271BCD" w:rsidP="00F77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454EA" w14:textId="0E2B1A3D" w:rsidR="00812E76" w:rsidRPr="00C73203" w:rsidRDefault="00812E76" w:rsidP="00C73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Rada hlavního města Prahy se usnesla dne</w:t>
      </w:r>
      <w:r w:rsidR="004E6BDF" w:rsidRPr="00C73203">
        <w:rPr>
          <w:rFonts w:ascii="Times New Roman" w:hAnsi="Times New Roman" w:cs="Times New Roman"/>
          <w:sz w:val="24"/>
          <w:szCs w:val="24"/>
        </w:rPr>
        <w:t xml:space="preserve"> 29. 4. 2024</w:t>
      </w:r>
      <w:r w:rsidRPr="00C73203">
        <w:rPr>
          <w:rFonts w:ascii="Times New Roman" w:hAnsi="Times New Roman" w:cs="Times New Roman"/>
          <w:sz w:val="24"/>
          <w:szCs w:val="24"/>
        </w:rPr>
        <w:t xml:space="preserve"> vydat podle § 44 odst. 2 zákona č.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131/2000 Sb., o hlavním městě Praze, ve znění zákona č. 320/2002 Sb., a § 2 odst. 1 písm. d) a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odst.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5 zákona č. 40/1995 Sb., o regulaci reklamy a o změně a doplnění zákona č. 468/1991 Sb., o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provozování rozhlasového a televizního vysílání, ve znění pozdějších předpisů, ve znění zákona č.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384/2005 Sb. a zákona č. 202/2015 Sb., toto nařízení:</w:t>
      </w:r>
    </w:p>
    <w:p w14:paraId="05CA7465" w14:textId="77777777" w:rsidR="00F77062" w:rsidRPr="00C73203" w:rsidRDefault="00F77062" w:rsidP="00F770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00302" w14:textId="77777777" w:rsidR="00812E76" w:rsidRPr="00C73203" w:rsidRDefault="00812E76" w:rsidP="00271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03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26E04609" w14:textId="0BADF9DC" w:rsidR="00F77062" w:rsidRPr="00C73203" w:rsidRDefault="00812E76" w:rsidP="00C73203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Nařízení č. 26/2005 Sb. hl. m. Prahy, kterým se zakazuje reklama šířená na veřejně přístupných místech mimo provozovnu, ve znění nařízení č. 9/2007 Sb. hl. m. Prahy, nařízení č.</w:t>
      </w:r>
      <w:r w:rsidR="00C73203">
        <w:rPr>
          <w:rFonts w:ascii="Times New Roman" w:hAnsi="Times New Roman" w:cs="Times New Roman"/>
          <w:sz w:val="24"/>
          <w:szCs w:val="24"/>
        </w:rPr>
        <w:t> </w:t>
      </w:r>
      <w:r w:rsidRPr="00C73203">
        <w:rPr>
          <w:rFonts w:ascii="Times New Roman" w:hAnsi="Times New Roman" w:cs="Times New Roman"/>
          <w:sz w:val="24"/>
          <w:szCs w:val="24"/>
        </w:rPr>
        <w:t>10/2010 Sb. hl. m. Prahy, nařízení č. 19/2014 Sb. hl. m. Prahy, nařízení č. 1/2017 Sb. hl. m. Prahy a nařízení č. 20/2020 Sb. hl. m. Prahy, se mění takto:</w:t>
      </w:r>
    </w:p>
    <w:p w14:paraId="2FB39480" w14:textId="5185295D" w:rsidR="00911C2B" w:rsidRPr="00C73203" w:rsidRDefault="00911C2B" w:rsidP="00911C2B">
      <w:pPr>
        <w:pStyle w:val="Odstavecseseznamem"/>
        <w:numPr>
          <w:ilvl w:val="0"/>
          <w:numId w:val="8"/>
        </w:numPr>
        <w:spacing w:after="120"/>
        <w:ind w:left="709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§ 1 odstavec 3 zní:</w:t>
      </w:r>
    </w:p>
    <w:p w14:paraId="35E6390F" w14:textId="77777777" w:rsidR="00911C2B" w:rsidRPr="00C73203" w:rsidRDefault="00911C2B" w:rsidP="00911C2B">
      <w:pPr>
        <w:pStyle w:val="Odstavecseseznamem"/>
        <w:spacing w:after="12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EB86BD" w14:textId="41E2C580" w:rsidR="00600934" w:rsidRPr="00C73203" w:rsidRDefault="00271BCD" w:rsidP="00911C2B">
      <w:pPr>
        <w:pStyle w:val="Odstavecseseznamem"/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F55629"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 </w:t>
      </w: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Šíření reklamy komunikačními médii podle § 3 písm. c) a g) na veřejně přístupných místech mimo provozovnu jiným způsobem než prostřednictvím reklamního nebo</w:t>
      </w:r>
      <w:r w:rsid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propagačního zařízení zřízeného podle stavebního zákona se na zbylém území hlavního města Prahy zakazuje. Zákaz šíření reklamy komunikačními médii podle § 3 písm. g) se</w:t>
      </w:r>
      <w:r w:rsid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nevztahuje na ta komunikační média, </w:t>
      </w:r>
      <w:r w:rsidR="00600934"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jež nejsou nasvícena, jsou umístěna </w:t>
      </w:r>
      <w:r w:rsidR="00F32A3F" w:rsidRPr="00C73203">
        <w:rPr>
          <w:rFonts w:ascii="Times New Roman" w:hAnsi="Times New Roman" w:cs="Times New Roman"/>
          <w:bCs/>
          <w:iCs/>
          <w:sz w:val="24"/>
          <w:szCs w:val="24"/>
        </w:rPr>
        <w:t>na slepých štítových stěnách a slepých fasádách budov</w:t>
      </w:r>
      <w:r w:rsidR="00600934"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nepřekračují </w:t>
      </w:r>
      <w:r w:rsidR="001423EE"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jejich obrys</w:t>
      </w:r>
      <w:r w:rsidR="00600934"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.“.</w:t>
      </w:r>
    </w:p>
    <w:p w14:paraId="5A9CAE5D" w14:textId="77777777" w:rsidR="00271BCD" w:rsidRPr="00C73203" w:rsidRDefault="00271BCD" w:rsidP="00600934">
      <w:pPr>
        <w:pStyle w:val="Odstavecseseznamem"/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DA1E58" w14:textId="77777777" w:rsidR="00271BCD" w:rsidRPr="00C73203" w:rsidRDefault="00271BCD" w:rsidP="00271BCD">
      <w:pPr>
        <w:pStyle w:val="Odstavecseseznamem"/>
        <w:numPr>
          <w:ilvl w:val="0"/>
          <w:numId w:val="8"/>
        </w:numPr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§ 1 odst. 4 se text „1, 2 a 3“ nahrazuje textem „1 a 2“.</w:t>
      </w:r>
    </w:p>
    <w:p w14:paraId="15CAF9C7" w14:textId="77777777" w:rsidR="00271BCD" w:rsidRPr="00C73203" w:rsidRDefault="00271BCD" w:rsidP="00271BCD">
      <w:pPr>
        <w:pStyle w:val="Odstavecseseznamem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DCF8AC" w14:textId="77777777" w:rsidR="005E0D0A" w:rsidRPr="00C73203" w:rsidRDefault="00AE2D3D" w:rsidP="00271BCD">
      <w:pPr>
        <w:pStyle w:val="Odstavecseseznamem"/>
        <w:numPr>
          <w:ilvl w:val="0"/>
          <w:numId w:val="8"/>
        </w:numPr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§ 1 se odstavec 5 zrušuje.</w:t>
      </w:r>
    </w:p>
    <w:p w14:paraId="063CACDD" w14:textId="77777777" w:rsidR="00271BCD" w:rsidRPr="00C73203" w:rsidRDefault="00271BCD" w:rsidP="000E37EC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709"/>
        <w:jc w:val="both"/>
        <w:rPr>
          <w:color w:val="000000"/>
        </w:rPr>
      </w:pPr>
      <w:r w:rsidRPr="00C73203">
        <w:t>V § 3 úvodní části ustanovení se za slova „na veřejně přístupných místech“ vkládají slova „mimo provozovnu“.</w:t>
      </w:r>
    </w:p>
    <w:p w14:paraId="16066FBE" w14:textId="77777777" w:rsidR="00911C2B" w:rsidRPr="00C73203" w:rsidRDefault="00271BCD" w:rsidP="00271BC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709"/>
        <w:jc w:val="both"/>
      </w:pPr>
      <w:r w:rsidRPr="00C73203">
        <w:rPr>
          <w:color w:val="000000"/>
        </w:rPr>
        <w:t xml:space="preserve">§ 4 zní: </w:t>
      </w:r>
    </w:p>
    <w:p w14:paraId="60C04D9C" w14:textId="58BAECA8" w:rsidR="00271BCD" w:rsidRPr="00C73203" w:rsidRDefault="00271BCD" w:rsidP="00911C2B">
      <w:pPr>
        <w:pStyle w:val="Normlnweb"/>
        <w:shd w:val="clear" w:color="auto" w:fill="FFFFFF"/>
        <w:spacing w:before="0" w:beforeAutospacing="0" w:after="240" w:afterAutospacing="0"/>
        <w:ind w:left="709"/>
        <w:jc w:val="both"/>
      </w:pPr>
      <w:r w:rsidRPr="00C73203">
        <w:rPr>
          <w:color w:val="000000"/>
        </w:rPr>
        <w:t>„Zákaz podle § 1 se nevztahuje na shromáždění, pouliční průvody a manifestace svolané podle</w:t>
      </w:r>
      <w:r w:rsidR="00C73203">
        <w:rPr>
          <w:color w:val="000000"/>
        </w:rPr>
        <w:t> </w:t>
      </w:r>
      <w:r w:rsidR="00F55629" w:rsidRPr="00C73203">
        <w:rPr>
          <w:color w:val="000000"/>
        </w:rPr>
        <w:t>jiného</w:t>
      </w:r>
      <w:r w:rsidRPr="00C73203">
        <w:rPr>
          <w:color w:val="000000"/>
        </w:rPr>
        <w:t xml:space="preserve"> právního předpisu</w:t>
      </w:r>
      <w:r w:rsidRPr="00C73203">
        <w:rPr>
          <w:color w:val="000000"/>
          <w:vertAlign w:val="superscript"/>
        </w:rPr>
        <w:t>6)</w:t>
      </w:r>
      <w:r w:rsidRPr="00C73203">
        <w:rPr>
          <w:color w:val="000000"/>
        </w:rPr>
        <w:t>.“</w:t>
      </w:r>
    </w:p>
    <w:p w14:paraId="4C6E43C5" w14:textId="1615C220" w:rsidR="00F77062" w:rsidRPr="00C73203" w:rsidRDefault="006E5762" w:rsidP="00271BC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709"/>
        <w:jc w:val="both"/>
      </w:pPr>
      <w:r w:rsidRPr="00C73203">
        <w:rPr>
          <w:color w:val="000000"/>
          <w:shd w:val="clear" w:color="auto" w:fill="FFFFFF"/>
        </w:rPr>
        <w:lastRenderedPageBreak/>
        <w:t xml:space="preserve">Příloha zní: </w:t>
      </w:r>
    </w:p>
    <w:p w14:paraId="3D2ABE33" w14:textId="35AA1FEE" w:rsidR="00F77062" w:rsidRPr="00C73203" w:rsidRDefault="00C73203" w:rsidP="00F77062">
      <w:pPr>
        <w:pStyle w:val="Normlnweb"/>
        <w:shd w:val="clear" w:color="auto" w:fill="FFFFFF"/>
        <w:spacing w:before="0" w:beforeAutospacing="0" w:after="240" w:afterAutospacing="0"/>
        <w:ind w:left="720"/>
        <w:jc w:val="right"/>
      </w:pPr>
      <w:r>
        <w:t>„</w:t>
      </w:r>
      <w:r w:rsidR="006E5762" w:rsidRPr="00C73203">
        <w:t>Příloha k naříz</w:t>
      </w:r>
      <w:r w:rsidR="00F77062" w:rsidRPr="00C73203">
        <w:t>ení č. 26/2005 Sb. hl. m. Prahy</w:t>
      </w:r>
    </w:p>
    <w:p w14:paraId="2BCF7801" w14:textId="77777777" w:rsidR="006E5762" w:rsidRPr="00C73203" w:rsidRDefault="006E5762" w:rsidP="00F77062">
      <w:pPr>
        <w:pStyle w:val="Normlnweb"/>
        <w:shd w:val="clear" w:color="auto" w:fill="FFFFFF"/>
        <w:spacing w:before="0" w:beforeAutospacing="0" w:after="240" w:afterAutospacing="0"/>
        <w:ind w:left="720"/>
        <w:jc w:val="center"/>
      </w:pPr>
      <w:r w:rsidRPr="00C73203">
        <w:t>Mapové znázornění oblastí regulace</w:t>
      </w:r>
    </w:p>
    <w:p w14:paraId="513B9129" w14:textId="77777777" w:rsidR="007A5543" w:rsidRPr="00C73203" w:rsidRDefault="007A5543" w:rsidP="007A5543">
      <w:pPr>
        <w:pStyle w:val="Normlnweb"/>
        <w:shd w:val="clear" w:color="auto" w:fill="FFFFFF"/>
        <w:spacing w:before="0" w:beforeAutospacing="0" w:after="240" w:afterAutospacing="0"/>
        <w:ind w:left="720"/>
        <w:jc w:val="center"/>
        <w:rPr>
          <w:i/>
        </w:rPr>
      </w:pPr>
      <w:r w:rsidRPr="00C73203">
        <w:rPr>
          <w:i/>
        </w:rPr>
        <w:t>(Pozn.: grafické znázornění neobsahuje zónu 3)</w:t>
      </w:r>
    </w:p>
    <w:p w14:paraId="753CA0B7" w14:textId="77777777" w:rsidR="00796BFD" w:rsidRPr="00C73203" w:rsidRDefault="00796BFD" w:rsidP="00796BFD">
      <w:pPr>
        <w:pStyle w:val="Normlnweb"/>
        <w:shd w:val="clear" w:color="auto" w:fill="FFFFFF"/>
        <w:spacing w:before="0" w:beforeAutospacing="0" w:after="240" w:afterAutospacing="0"/>
        <w:jc w:val="both"/>
      </w:pPr>
      <w:r w:rsidRPr="00C73203">
        <w:rPr>
          <w:noProof/>
        </w:rPr>
        <w:drawing>
          <wp:inline distT="0" distB="0" distL="0" distR="0" wp14:anchorId="68A4792C" wp14:editId="08C97BBB">
            <wp:extent cx="5760720" cy="40589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 od ipru jako obráze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8FFB" w14:textId="77777777" w:rsidR="006E5762" w:rsidRPr="00C73203" w:rsidRDefault="006E5762" w:rsidP="00796BFD">
      <w:pPr>
        <w:pStyle w:val="Normlnweb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C73203">
        <w:t>“.</w:t>
      </w:r>
    </w:p>
    <w:p w14:paraId="281661A2" w14:textId="77777777" w:rsidR="00AE2D3D" w:rsidRPr="00C73203" w:rsidRDefault="00AE2D3D" w:rsidP="00F770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C4855" w14:textId="77777777" w:rsidR="0024608E" w:rsidRPr="00C73203" w:rsidRDefault="0024608E" w:rsidP="00271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03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55FE5D4" w14:textId="77777777" w:rsidR="006750BE" w:rsidRPr="00C73203" w:rsidRDefault="0024608E" w:rsidP="00C73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 xml:space="preserve">Toto nařízení nabývá účinnosti dnem </w:t>
      </w:r>
      <w:r w:rsidR="00271BCD" w:rsidRPr="00C73203">
        <w:rPr>
          <w:rFonts w:ascii="Times New Roman" w:hAnsi="Times New Roman" w:cs="Times New Roman"/>
          <w:sz w:val="24"/>
          <w:szCs w:val="24"/>
        </w:rPr>
        <w:t>1. července 2024.</w:t>
      </w:r>
    </w:p>
    <w:p w14:paraId="5B00E715" w14:textId="77777777" w:rsidR="001424D0" w:rsidRPr="00C73203" w:rsidRDefault="001424D0" w:rsidP="00F770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DEE24" w14:textId="77777777" w:rsidR="001424D0" w:rsidRPr="00C73203" w:rsidRDefault="001424D0" w:rsidP="00F770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5A8EE" w14:textId="28F06B3E" w:rsidR="001424D0" w:rsidRPr="00C73203" w:rsidRDefault="001424D0" w:rsidP="00142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Doc. MUDr. Bohuslav Svoboda, CSc.</w:t>
      </w:r>
      <w:r w:rsidR="00C73203">
        <w:rPr>
          <w:rFonts w:ascii="Times New Roman" w:hAnsi="Times New Roman" w:cs="Times New Roman"/>
          <w:sz w:val="24"/>
          <w:szCs w:val="24"/>
        </w:rPr>
        <w:t>, v. r.</w:t>
      </w:r>
    </w:p>
    <w:p w14:paraId="537E81BC" w14:textId="77777777" w:rsidR="001424D0" w:rsidRPr="00C73203" w:rsidRDefault="001424D0" w:rsidP="00142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3743E9E1" w14:textId="77777777" w:rsidR="001424D0" w:rsidRPr="00C73203" w:rsidRDefault="001424D0" w:rsidP="00142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03BBF" w14:textId="77777777" w:rsidR="001424D0" w:rsidRPr="00C73203" w:rsidRDefault="001424D0" w:rsidP="00142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MUDr. Zdeněk Hřib, v. r.</w:t>
      </w:r>
    </w:p>
    <w:p w14:paraId="76A13588" w14:textId="421EC072" w:rsidR="000566D8" w:rsidRPr="00C73203" w:rsidRDefault="001424D0" w:rsidP="00D36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203">
        <w:rPr>
          <w:rFonts w:ascii="Times New Roman" w:hAnsi="Times New Roman" w:cs="Times New Roman"/>
          <w:sz w:val="24"/>
          <w:szCs w:val="24"/>
        </w:rPr>
        <w:t>I. náměstek primátora hlavního města Prahy</w:t>
      </w:r>
    </w:p>
    <w:sectPr w:rsidR="000566D8" w:rsidRPr="00C73203" w:rsidSect="00C7320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500"/>
    <w:multiLevelType w:val="hybridMultilevel"/>
    <w:tmpl w:val="6A943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DAD"/>
    <w:multiLevelType w:val="hybridMultilevel"/>
    <w:tmpl w:val="6AA00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46110"/>
    <w:multiLevelType w:val="multilevel"/>
    <w:tmpl w:val="E00CB1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F3DF9"/>
    <w:multiLevelType w:val="hybridMultilevel"/>
    <w:tmpl w:val="0E52B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77D6"/>
    <w:multiLevelType w:val="hybridMultilevel"/>
    <w:tmpl w:val="4BD6B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77C7"/>
    <w:multiLevelType w:val="hybridMultilevel"/>
    <w:tmpl w:val="470E6B0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D63E30"/>
    <w:multiLevelType w:val="hybridMultilevel"/>
    <w:tmpl w:val="E118F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365E0"/>
    <w:multiLevelType w:val="hybridMultilevel"/>
    <w:tmpl w:val="0D2E180A"/>
    <w:lvl w:ilvl="0" w:tplc="D93665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502C6"/>
    <w:multiLevelType w:val="hybridMultilevel"/>
    <w:tmpl w:val="7B025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76"/>
    <w:rsid w:val="00017E2A"/>
    <w:rsid w:val="000566D8"/>
    <w:rsid w:val="00067FF9"/>
    <w:rsid w:val="000A40D9"/>
    <w:rsid w:val="000C2267"/>
    <w:rsid w:val="00137E59"/>
    <w:rsid w:val="001423EE"/>
    <w:rsid w:val="001424D0"/>
    <w:rsid w:val="001A593C"/>
    <w:rsid w:val="00217C62"/>
    <w:rsid w:val="00226B24"/>
    <w:rsid w:val="00230DD0"/>
    <w:rsid w:val="00232EA8"/>
    <w:rsid w:val="0024608E"/>
    <w:rsid w:val="00271BCD"/>
    <w:rsid w:val="002C0384"/>
    <w:rsid w:val="002E2891"/>
    <w:rsid w:val="003838D2"/>
    <w:rsid w:val="003D01C8"/>
    <w:rsid w:val="003E6EE7"/>
    <w:rsid w:val="004B66A2"/>
    <w:rsid w:val="004C3CA5"/>
    <w:rsid w:val="004D3F03"/>
    <w:rsid w:val="004D695C"/>
    <w:rsid w:val="004E6BDF"/>
    <w:rsid w:val="00563752"/>
    <w:rsid w:val="005C12F2"/>
    <w:rsid w:val="005E0D0A"/>
    <w:rsid w:val="00600934"/>
    <w:rsid w:val="00630A45"/>
    <w:rsid w:val="006750BE"/>
    <w:rsid w:val="006E5762"/>
    <w:rsid w:val="00744770"/>
    <w:rsid w:val="007650C5"/>
    <w:rsid w:val="0078322B"/>
    <w:rsid w:val="00796BFD"/>
    <w:rsid w:val="007A5543"/>
    <w:rsid w:val="007B43FA"/>
    <w:rsid w:val="00812E76"/>
    <w:rsid w:val="008136B3"/>
    <w:rsid w:val="00816209"/>
    <w:rsid w:val="00857CCB"/>
    <w:rsid w:val="00862B20"/>
    <w:rsid w:val="00874A1B"/>
    <w:rsid w:val="00886368"/>
    <w:rsid w:val="008D67DE"/>
    <w:rsid w:val="008E5F5A"/>
    <w:rsid w:val="00911C2B"/>
    <w:rsid w:val="00920D83"/>
    <w:rsid w:val="0095136B"/>
    <w:rsid w:val="009F589E"/>
    <w:rsid w:val="00A00175"/>
    <w:rsid w:val="00A53509"/>
    <w:rsid w:val="00AE2D3D"/>
    <w:rsid w:val="00B335BD"/>
    <w:rsid w:val="00B53252"/>
    <w:rsid w:val="00C11A5A"/>
    <w:rsid w:val="00C24673"/>
    <w:rsid w:val="00C73203"/>
    <w:rsid w:val="00D06D0A"/>
    <w:rsid w:val="00D30AD2"/>
    <w:rsid w:val="00D36EC1"/>
    <w:rsid w:val="00D5739E"/>
    <w:rsid w:val="00D71898"/>
    <w:rsid w:val="00D825D2"/>
    <w:rsid w:val="00DC3B15"/>
    <w:rsid w:val="00E02C74"/>
    <w:rsid w:val="00E259C8"/>
    <w:rsid w:val="00F00776"/>
    <w:rsid w:val="00F32A3F"/>
    <w:rsid w:val="00F55629"/>
    <w:rsid w:val="00F77062"/>
    <w:rsid w:val="00FB6F6B"/>
    <w:rsid w:val="00FD310C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709"/>
  <w15:chartTrackingRefBased/>
  <w15:docId w15:val="{657383CC-E5EA-4FE7-8A6A-F4E0523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6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60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66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566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6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0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A09F-E7D9-4094-B278-8AF43271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 Martin (MHMP, ZIO)</dc:creator>
  <cp:keywords/>
  <dc:description/>
  <cp:lastModifiedBy>Vejvodová Magdaléna (MHMP, LEG)</cp:lastModifiedBy>
  <cp:revision>3</cp:revision>
  <cp:lastPrinted>2024-05-09T16:08:00Z</cp:lastPrinted>
  <dcterms:created xsi:type="dcterms:W3CDTF">2024-05-09T16:19:00Z</dcterms:created>
  <dcterms:modified xsi:type="dcterms:W3CDTF">2024-05-09T16:24:00Z</dcterms:modified>
</cp:coreProperties>
</file>