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B7E80" w14:textId="77777777" w:rsidR="00F661B8" w:rsidRDefault="004A739C">
      <w:pPr>
        <w:spacing w:before="77" w:line="321" w:lineRule="exact"/>
        <w:ind w:left="97" w:right="96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Obecně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závazná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vyhláčka</w:t>
      </w:r>
      <w:proofErr w:type="spellEnd"/>
      <w:r>
        <w:rPr>
          <w:b/>
          <w:i/>
          <w:sz w:val="28"/>
        </w:rPr>
        <w:t xml:space="preserve"> č. 1/2008</w:t>
      </w:r>
    </w:p>
    <w:p w14:paraId="6CF0B503" w14:textId="77777777" w:rsidR="00F661B8" w:rsidRDefault="004A739C">
      <w:pPr>
        <w:pStyle w:val="Nadpis1"/>
        <w:spacing w:line="275" w:lineRule="exact"/>
      </w:pPr>
      <w:r>
        <w:t xml:space="preserve">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koeficientu</w:t>
      </w:r>
      <w:proofErr w:type="spellEnd"/>
      <w:r>
        <w:t xml:space="preserve"> pro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nemovitostí</w:t>
      </w:r>
      <w:proofErr w:type="spellEnd"/>
    </w:p>
    <w:p w14:paraId="695D1CFD" w14:textId="77777777" w:rsidR="00F661B8" w:rsidRDefault="00F661B8">
      <w:pPr>
        <w:pStyle w:val="Zkladntext"/>
        <w:rPr>
          <w:b/>
          <w:sz w:val="26"/>
        </w:rPr>
      </w:pPr>
    </w:p>
    <w:p w14:paraId="342DFB24" w14:textId="77777777" w:rsidR="00F661B8" w:rsidRDefault="00F661B8">
      <w:pPr>
        <w:pStyle w:val="Zkladntext"/>
        <w:rPr>
          <w:b/>
          <w:sz w:val="26"/>
        </w:rPr>
      </w:pPr>
    </w:p>
    <w:p w14:paraId="630856C3" w14:textId="77777777" w:rsidR="00F661B8" w:rsidRDefault="004A739C">
      <w:pPr>
        <w:pStyle w:val="Zkladntext"/>
        <w:spacing w:before="226"/>
        <w:ind w:left="115" w:right="108"/>
        <w:jc w:val="both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Bouzov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26.6.2008 </w:t>
      </w:r>
      <w:proofErr w:type="spellStart"/>
      <w:r>
        <w:t>usnesením</w:t>
      </w:r>
      <w:proofErr w:type="spellEnd"/>
      <w:r>
        <w:t xml:space="preserve"> č. 2.6.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§ 6, </w:t>
      </w:r>
      <w:proofErr w:type="spellStart"/>
      <w:r>
        <w:t>odst</w:t>
      </w:r>
      <w:proofErr w:type="spellEnd"/>
      <w:r>
        <w:t xml:space="preserve">. 4, </w:t>
      </w:r>
      <w:proofErr w:type="spellStart"/>
      <w:r>
        <w:t>písm</w:t>
      </w:r>
      <w:proofErr w:type="spellEnd"/>
      <w:r>
        <w:t xml:space="preserve">. b), § 11, </w:t>
      </w:r>
      <w:proofErr w:type="spellStart"/>
      <w:r>
        <w:t>odst</w:t>
      </w:r>
      <w:proofErr w:type="spellEnd"/>
      <w:r>
        <w:t xml:space="preserve">. 3, </w:t>
      </w:r>
      <w:proofErr w:type="spellStart"/>
      <w:r>
        <w:t>písm</w:t>
      </w:r>
      <w:proofErr w:type="spellEnd"/>
      <w:r>
        <w:t xml:space="preserve"> a) a b) </w:t>
      </w:r>
      <w:proofErr w:type="spellStart"/>
      <w:r>
        <w:t>zákona</w:t>
      </w:r>
      <w:proofErr w:type="spellEnd"/>
      <w:r>
        <w:t xml:space="preserve"> č. 338/1992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nemovitostí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to § 84, </w:t>
      </w:r>
      <w:proofErr w:type="spellStart"/>
      <w:r>
        <w:t>odst</w:t>
      </w:r>
      <w:proofErr w:type="spellEnd"/>
      <w:r>
        <w:t xml:space="preserve">. 2, </w:t>
      </w:r>
      <w:proofErr w:type="spellStart"/>
      <w:r>
        <w:t>písm</w:t>
      </w:r>
      <w:proofErr w:type="spellEnd"/>
      <w:r>
        <w:t xml:space="preserve"> h) </w:t>
      </w:r>
      <w:proofErr w:type="spellStart"/>
      <w:r>
        <w:t>zákona</w:t>
      </w:r>
      <w:proofErr w:type="spell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>:</w:t>
      </w:r>
    </w:p>
    <w:p w14:paraId="51F56A01" w14:textId="77777777" w:rsidR="00F661B8" w:rsidRDefault="00F661B8">
      <w:pPr>
        <w:pStyle w:val="Zkladntext"/>
        <w:rPr>
          <w:sz w:val="26"/>
        </w:rPr>
      </w:pPr>
    </w:p>
    <w:p w14:paraId="4EF0892C" w14:textId="77777777" w:rsidR="00F661B8" w:rsidRDefault="00F661B8">
      <w:pPr>
        <w:pStyle w:val="Zkladntext"/>
        <w:spacing w:before="2"/>
        <w:rPr>
          <w:sz w:val="22"/>
        </w:rPr>
      </w:pPr>
    </w:p>
    <w:p w14:paraId="7CCB2A88" w14:textId="77777777" w:rsidR="00F661B8" w:rsidRDefault="004A739C">
      <w:pPr>
        <w:pStyle w:val="Nadpis1"/>
      </w:pPr>
      <w:proofErr w:type="spellStart"/>
      <w:r>
        <w:t>Čl</w:t>
      </w:r>
      <w:proofErr w:type="spellEnd"/>
      <w:r>
        <w:t>. 1</w:t>
      </w:r>
    </w:p>
    <w:p w14:paraId="192BA389" w14:textId="77777777" w:rsidR="00F661B8" w:rsidRDefault="004A739C">
      <w:pPr>
        <w:spacing w:line="274" w:lineRule="exact"/>
        <w:ind w:left="97" w:right="95"/>
        <w:jc w:val="center"/>
        <w:rPr>
          <w:b/>
          <w:i/>
          <w:sz w:val="24"/>
        </w:rPr>
      </w:pPr>
      <w:r>
        <w:rPr>
          <w:b/>
          <w:i/>
          <w:sz w:val="24"/>
        </w:rPr>
        <w:t>Pozemky</w:t>
      </w:r>
    </w:p>
    <w:p w14:paraId="3A2D89A0" w14:textId="77777777" w:rsidR="00F661B8" w:rsidRDefault="004A739C">
      <w:pPr>
        <w:pStyle w:val="Zkladntext"/>
        <w:ind w:left="115" w:right="107"/>
        <w:jc w:val="both"/>
      </w:pPr>
      <w:r>
        <w:t xml:space="preserve">U </w:t>
      </w:r>
      <w:proofErr w:type="spellStart"/>
      <w:r>
        <w:t>stavebních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se </w:t>
      </w:r>
      <w:proofErr w:type="spellStart"/>
      <w:r>
        <w:t>násobí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sazba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, pro </w:t>
      </w:r>
      <w:r>
        <w:t xml:space="preserve">Bouzov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1,4, pro </w:t>
      </w:r>
      <w:proofErr w:type="spellStart"/>
      <w:r>
        <w:t>Bezděkov</w:t>
      </w:r>
      <w:proofErr w:type="spellEnd"/>
      <w:r>
        <w:t xml:space="preserve">, </w:t>
      </w:r>
      <w:proofErr w:type="spellStart"/>
      <w:r>
        <w:t>Blažov</w:t>
      </w:r>
      <w:proofErr w:type="spellEnd"/>
      <w:r>
        <w:t xml:space="preserve">, Doly, </w:t>
      </w:r>
      <w:proofErr w:type="spellStart"/>
      <w:r>
        <w:t>Hvozdečko</w:t>
      </w:r>
      <w:proofErr w:type="spellEnd"/>
      <w:r>
        <w:t xml:space="preserve">, </w:t>
      </w:r>
      <w:proofErr w:type="spellStart"/>
      <w:r>
        <w:t>Jeřmaň</w:t>
      </w:r>
      <w:proofErr w:type="spellEnd"/>
      <w:r>
        <w:t xml:space="preserve">, </w:t>
      </w:r>
      <w:proofErr w:type="spellStart"/>
      <w:r>
        <w:t>Kadeřín</w:t>
      </w:r>
      <w:proofErr w:type="spellEnd"/>
      <w:r>
        <w:t xml:space="preserve">, </w:t>
      </w:r>
      <w:proofErr w:type="spellStart"/>
      <w:r>
        <w:t>Kovářov</w:t>
      </w:r>
      <w:proofErr w:type="spellEnd"/>
      <w:r>
        <w:t xml:space="preserve">, </w:t>
      </w:r>
      <w:proofErr w:type="spellStart"/>
      <w:r>
        <w:t>Kozov</w:t>
      </w:r>
      <w:proofErr w:type="spellEnd"/>
      <w:r>
        <w:t xml:space="preserve">, </w:t>
      </w:r>
      <w:proofErr w:type="spellStart"/>
      <w:r>
        <w:t>Obectov</w:t>
      </w:r>
      <w:proofErr w:type="spellEnd"/>
      <w:r>
        <w:t xml:space="preserve">, </w:t>
      </w:r>
      <w:proofErr w:type="spellStart"/>
      <w:r>
        <w:t>Olešnice</w:t>
      </w:r>
      <w:proofErr w:type="spellEnd"/>
      <w:r>
        <w:t xml:space="preserve">, </w:t>
      </w:r>
      <w:proofErr w:type="spellStart"/>
      <w:r>
        <w:t>Podolí</w:t>
      </w:r>
      <w:proofErr w:type="spellEnd"/>
      <w:r>
        <w:t xml:space="preserve">, </w:t>
      </w:r>
      <w:proofErr w:type="spellStart"/>
      <w:r>
        <w:t>Svojanov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1,0.</w:t>
      </w:r>
    </w:p>
    <w:p w14:paraId="00058437" w14:textId="77777777" w:rsidR="00F661B8" w:rsidRDefault="00F661B8">
      <w:pPr>
        <w:pStyle w:val="Zkladntext"/>
        <w:rPr>
          <w:sz w:val="26"/>
        </w:rPr>
      </w:pPr>
    </w:p>
    <w:p w14:paraId="6EADD139" w14:textId="77777777" w:rsidR="00F661B8" w:rsidRDefault="00F661B8">
      <w:pPr>
        <w:pStyle w:val="Zkladntext"/>
        <w:spacing w:before="3"/>
        <w:rPr>
          <w:sz w:val="22"/>
        </w:rPr>
      </w:pPr>
    </w:p>
    <w:p w14:paraId="1D406E19" w14:textId="77777777" w:rsidR="00F661B8" w:rsidRDefault="004A739C">
      <w:pPr>
        <w:pStyle w:val="Nadpis1"/>
      </w:pPr>
      <w:proofErr w:type="spellStart"/>
      <w:r>
        <w:t>Čl</w:t>
      </w:r>
      <w:proofErr w:type="spellEnd"/>
      <w:r>
        <w:t>. 2</w:t>
      </w:r>
    </w:p>
    <w:p w14:paraId="4BCC7632" w14:textId="77777777" w:rsidR="00F661B8" w:rsidRDefault="004A739C">
      <w:pPr>
        <w:spacing w:line="274" w:lineRule="exact"/>
        <w:ind w:left="97" w:right="93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Stavby</w:t>
      </w:r>
      <w:proofErr w:type="spellEnd"/>
    </w:p>
    <w:p w14:paraId="7DDF3015" w14:textId="77777777" w:rsidR="00F661B8" w:rsidRDefault="004A739C">
      <w:pPr>
        <w:pStyle w:val="Odstavecseseznamem"/>
        <w:numPr>
          <w:ilvl w:val="0"/>
          <w:numId w:val="1"/>
        </w:numPr>
        <w:tabs>
          <w:tab w:val="left" w:pos="824"/>
        </w:tabs>
        <w:ind w:left="115" w:right="110" w:firstLine="0"/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U  </w:t>
      </w:r>
      <w:proofErr w:type="spellStart"/>
      <w:r>
        <w:rPr>
          <w:i/>
          <w:sz w:val="24"/>
        </w:rPr>
        <w:t>staveb</w:t>
      </w:r>
      <w:proofErr w:type="spellEnd"/>
      <w:proofErr w:type="gramEnd"/>
      <w:r>
        <w:rPr>
          <w:i/>
          <w:sz w:val="24"/>
        </w:rPr>
        <w:t xml:space="preserve">  </w:t>
      </w:r>
      <w:proofErr w:type="spellStart"/>
      <w:r>
        <w:rPr>
          <w:i/>
          <w:sz w:val="24"/>
        </w:rPr>
        <w:t>uvedených</w:t>
      </w:r>
      <w:proofErr w:type="spellEnd"/>
      <w:r>
        <w:rPr>
          <w:i/>
          <w:sz w:val="24"/>
        </w:rPr>
        <w:t xml:space="preserve">  v  §  11,  </w:t>
      </w:r>
      <w:proofErr w:type="spellStart"/>
      <w:r>
        <w:rPr>
          <w:i/>
          <w:sz w:val="24"/>
        </w:rPr>
        <w:t>odst</w:t>
      </w:r>
      <w:proofErr w:type="spellEnd"/>
      <w:r>
        <w:rPr>
          <w:i/>
          <w:sz w:val="24"/>
        </w:rPr>
        <w:t xml:space="preserve">.  </w:t>
      </w:r>
      <w:proofErr w:type="gramStart"/>
      <w:r>
        <w:rPr>
          <w:i/>
          <w:sz w:val="24"/>
        </w:rPr>
        <w:t xml:space="preserve">1,  </w:t>
      </w:r>
      <w:proofErr w:type="spellStart"/>
      <w:r>
        <w:rPr>
          <w:i/>
          <w:sz w:val="24"/>
        </w:rPr>
        <w:t>písm</w:t>
      </w:r>
      <w:proofErr w:type="spellEnd"/>
      <w:proofErr w:type="gramEnd"/>
      <w:r>
        <w:rPr>
          <w:i/>
          <w:sz w:val="24"/>
        </w:rPr>
        <w:t xml:space="preserve">.  a)  </w:t>
      </w:r>
      <w:proofErr w:type="spellStart"/>
      <w:proofErr w:type="gramStart"/>
      <w:r>
        <w:rPr>
          <w:i/>
          <w:sz w:val="24"/>
        </w:rPr>
        <w:t>zákona</w:t>
      </w:r>
      <w:proofErr w:type="spellEnd"/>
      <w:r>
        <w:rPr>
          <w:i/>
          <w:sz w:val="24"/>
        </w:rPr>
        <w:t xml:space="preserve">  č.</w:t>
      </w:r>
      <w:proofErr w:type="gramEnd"/>
      <w:r>
        <w:rPr>
          <w:i/>
          <w:sz w:val="24"/>
        </w:rPr>
        <w:t xml:space="preserve">  338/</w:t>
      </w:r>
      <w:proofErr w:type="gramStart"/>
      <w:r>
        <w:rPr>
          <w:i/>
          <w:sz w:val="24"/>
        </w:rPr>
        <w:t>1992  Sb.</w:t>
      </w:r>
      <w:proofErr w:type="gramEnd"/>
      <w:r>
        <w:rPr>
          <w:i/>
          <w:sz w:val="24"/>
        </w:rPr>
        <w:t xml:space="preserve">,  o  </w:t>
      </w:r>
      <w:proofErr w:type="spellStart"/>
      <w:r>
        <w:rPr>
          <w:i/>
          <w:sz w:val="24"/>
        </w:rPr>
        <w:t>dani</w:t>
      </w:r>
      <w:proofErr w:type="spellEnd"/>
      <w:r>
        <w:rPr>
          <w:i/>
          <w:sz w:val="24"/>
        </w:rPr>
        <w:t xml:space="preserve">   z </w:t>
      </w:r>
      <w:proofErr w:type="spellStart"/>
      <w:r>
        <w:rPr>
          <w:i/>
          <w:sz w:val="24"/>
        </w:rPr>
        <w:t>nemovitostí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znění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pozdějších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předpisů</w:t>
      </w:r>
      <w:proofErr w:type="spellEnd"/>
      <w:r>
        <w:rPr>
          <w:i/>
          <w:sz w:val="24"/>
        </w:rPr>
        <w:t xml:space="preserve">, se </w:t>
      </w:r>
      <w:proofErr w:type="spellStart"/>
      <w:r>
        <w:rPr>
          <w:i/>
          <w:sz w:val="24"/>
        </w:rPr>
        <w:t>stanovuje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koeficient</w:t>
      </w:r>
      <w:proofErr w:type="spellEnd"/>
      <w:r>
        <w:rPr>
          <w:i/>
          <w:sz w:val="24"/>
        </w:rPr>
        <w:t xml:space="preserve"> pro Bouzov 1,4, pro </w:t>
      </w:r>
      <w:proofErr w:type="spellStart"/>
      <w:r>
        <w:rPr>
          <w:i/>
          <w:sz w:val="24"/>
        </w:rPr>
        <w:t>Bezděkov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Blažov</w:t>
      </w:r>
      <w:proofErr w:type="spellEnd"/>
      <w:r>
        <w:rPr>
          <w:i/>
          <w:sz w:val="24"/>
        </w:rPr>
        <w:t xml:space="preserve">, Doly, </w:t>
      </w:r>
      <w:proofErr w:type="spellStart"/>
      <w:r>
        <w:rPr>
          <w:i/>
          <w:sz w:val="24"/>
        </w:rPr>
        <w:t>Hvozdečko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Jeřmaň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Kadeřín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Kovářov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Kozov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Obectov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Olešnice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Podolí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Svojanov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výši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1,0.</w:t>
      </w:r>
    </w:p>
    <w:p w14:paraId="76448040" w14:textId="77777777" w:rsidR="00F661B8" w:rsidRDefault="00F661B8">
      <w:pPr>
        <w:pStyle w:val="Zkladntext"/>
        <w:spacing w:before="9"/>
        <w:rPr>
          <w:sz w:val="23"/>
        </w:rPr>
      </w:pPr>
    </w:p>
    <w:p w14:paraId="3CF9035F" w14:textId="77777777" w:rsidR="00F661B8" w:rsidRDefault="004A739C">
      <w:pPr>
        <w:pStyle w:val="Odstavecseseznamem"/>
        <w:numPr>
          <w:ilvl w:val="0"/>
          <w:numId w:val="1"/>
        </w:numPr>
        <w:tabs>
          <w:tab w:val="left" w:pos="824"/>
        </w:tabs>
        <w:ind w:left="115" w:firstLine="0"/>
        <w:jc w:val="both"/>
        <w:rPr>
          <w:i/>
          <w:sz w:val="24"/>
        </w:rPr>
      </w:pPr>
      <w:r>
        <w:rPr>
          <w:i/>
          <w:sz w:val="24"/>
        </w:rPr>
        <w:t xml:space="preserve">U </w:t>
      </w:r>
      <w:proofErr w:type="spellStart"/>
      <w:r>
        <w:rPr>
          <w:i/>
          <w:sz w:val="24"/>
        </w:rPr>
        <w:t>staveb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uvedených</w:t>
      </w:r>
      <w:proofErr w:type="spellEnd"/>
      <w:r>
        <w:rPr>
          <w:i/>
          <w:sz w:val="24"/>
        </w:rPr>
        <w:t xml:space="preserve"> v § 11, </w:t>
      </w:r>
      <w:proofErr w:type="spellStart"/>
      <w:r>
        <w:rPr>
          <w:i/>
          <w:sz w:val="24"/>
        </w:rPr>
        <w:t>odst</w:t>
      </w:r>
      <w:proofErr w:type="spellEnd"/>
      <w:r>
        <w:rPr>
          <w:i/>
          <w:sz w:val="24"/>
        </w:rPr>
        <w:t xml:space="preserve">. 1,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b) </w:t>
      </w:r>
      <w:proofErr w:type="spellStart"/>
      <w:r>
        <w:rPr>
          <w:i/>
          <w:sz w:val="24"/>
        </w:rPr>
        <w:t>až</w:t>
      </w:r>
      <w:proofErr w:type="spellEnd"/>
      <w:r>
        <w:rPr>
          <w:i/>
          <w:sz w:val="24"/>
        </w:rPr>
        <w:t xml:space="preserve"> d) </w:t>
      </w:r>
      <w:proofErr w:type="spellStart"/>
      <w:r>
        <w:rPr>
          <w:i/>
          <w:sz w:val="24"/>
        </w:rPr>
        <w:t>zákona</w:t>
      </w:r>
      <w:proofErr w:type="spellEnd"/>
      <w:r>
        <w:rPr>
          <w:i/>
          <w:sz w:val="24"/>
        </w:rPr>
        <w:t xml:space="preserve"> č. 338/1992 Sb., o </w:t>
      </w:r>
      <w:proofErr w:type="spellStart"/>
      <w:r>
        <w:rPr>
          <w:i/>
          <w:sz w:val="24"/>
        </w:rPr>
        <w:t>dani</w:t>
      </w:r>
      <w:proofErr w:type="spellEnd"/>
      <w:r>
        <w:rPr>
          <w:i/>
          <w:sz w:val="24"/>
        </w:rPr>
        <w:t xml:space="preserve">         z </w:t>
      </w:r>
      <w:proofErr w:type="spellStart"/>
      <w:r>
        <w:rPr>
          <w:i/>
          <w:sz w:val="24"/>
        </w:rPr>
        <w:t>nemovitostí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znění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pozdějších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předpisů</w:t>
      </w:r>
      <w:proofErr w:type="spellEnd"/>
      <w:r>
        <w:rPr>
          <w:i/>
          <w:sz w:val="24"/>
        </w:rPr>
        <w:t xml:space="preserve">, se </w:t>
      </w:r>
      <w:proofErr w:type="spellStart"/>
      <w:r>
        <w:rPr>
          <w:i/>
          <w:sz w:val="24"/>
        </w:rPr>
        <w:t>stanovuje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koeficient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kterým</w:t>
      </w:r>
      <w:proofErr w:type="spellEnd"/>
      <w:r>
        <w:rPr>
          <w:i/>
          <w:sz w:val="24"/>
        </w:rPr>
        <w:t xml:space="preserve"> se </w:t>
      </w:r>
      <w:proofErr w:type="spellStart"/>
      <w:r>
        <w:rPr>
          <w:i/>
          <w:sz w:val="24"/>
        </w:rPr>
        <w:t>násobí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základní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sazba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daně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případně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sazba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zvýšená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podle</w:t>
      </w:r>
      <w:proofErr w:type="spellEnd"/>
      <w:r>
        <w:rPr>
          <w:i/>
          <w:sz w:val="24"/>
        </w:rPr>
        <w:t xml:space="preserve"> § 11, </w:t>
      </w:r>
      <w:proofErr w:type="spellStart"/>
      <w:r>
        <w:rPr>
          <w:i/>
          <w:sz w:val="24"/>
        </w:rPr>
        <w:t>odst</w:t>
      </w:r>
      <w:proofErr w:type="spellEnd"/>
      <w:r>
        <w:rPr>
          <w:i/>
          <w:sz w:val="24"/>
        </w:rPr>
        <w:t xml:space="preserve">. 2 </w:t>
      </w:r>
      <w:proofErr w:type="spellStart"/>
      <w:r>
        <w:rPr>
          <w:i/>
          <w:sz w:val="24"/>
        </w:rPr>
        <w:t>zákona</w:t>
      </w:r>
      <w:proofErr w:type="spellEnd"/>
      <w:r>
        <w:rPr>
          <w:i/>
          <w:sz w:val="24"/>
        </w:rPr>
        <w:t xml:space="preserve"> č. 338/1992 sb., o </w:t>
      </w:r>
      <w:proofErr w:type="spellStart"/>
      <w:r>
        <w:rPr>
          <w:i/>
          <w:sz w:val="24"/>
        </w:rPr>
        <w:t>dani</w:t>
      </w:r>
      <w:proofErr w:type="spellEnd"/>
      <w:r>
        <w:rPr>
          <w:i/>
          <w:sz w:val="24"/>
        </w:rPr>
        <w:t xml:space="preserve">   z </w:t>
      </w:r>
      <w:proofErr w:type="spellStart"/>
      <w:r>
        <w:rPr>
          <w:i/>
          <w:sz w:val="24"/>
        </w:rPr>
        <w:t>nemovitostí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znění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pozdějších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předpisů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výši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1,5.</w:t>
      </w:r>
    </w:p>
    <w:p w14:paraId="3803318C" w14:textId="77777777" w:rsidR="00F661B8" w:rsidRDefault="00F661B8">
      <w:pPr>
        <w:pStyle w:val="Zkladntext"/>
        <w:rPr>
          <w:sz w:val="26"/>
        </w:rPr>
      </w:pPr>
    </w:p>
    <w:p w14:paraId="6D90A01F" w14:textId="77777777" w:rsidR="00F661B8" w:rsidRDefault="00F661B8">
      <w:pPr>
        <w:pStyle w:val="Zkladntext"/>
        <w:spacing w:before="5"/>
        <w:rPr>
          <w:sz w:val="22"/>
        </w:rPr>
      </w:pPr>
    </w:p>
    <w:p w14:paraId="605BC46A" w14:textId="77777777" w:rsidR="00F661B8" w:rsidRDefault="004A739C">
      <w:pPr>
        <w:pStyle w:val="Nadpis1"/>
      </w:pPr>
      <w:proofErr w:type="spellStart"/>
      <w:r>
        <w:t>Čl</w:t>
      </w:r>
      <w:proofErr w:type="spellEnd"/>
      <w:r>
        <w:t>. 3</w:t>
      </w:r>
    </w:p>
    <w:p w14:paraId="3B8AF9CA" w14:textId="77777777" w:rsidR="00F661B8" w:rsidRDefault="004A739C">
      <w:pPr>
        <w:spacing w:line="274" w:lineRule="exact"/>
        <w:ind w:left="97" w:right="97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Zrušovací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ustanovení</w:t>
      </w:r>
      <w:proofErr w:type="spellEnd"/>
    </w:p>
    <w:p w14:paraId="5D9D87B5" w14:textId="77777777" w:rsidR="00F661B8" w:rsidRDefault="004A739C">
      <w:pPr>
        <w:pStyle w:val="Zkladntext"/>
        <w:ind w:left="115" w:right="107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vyhláškou</w:t>
      </w:r>
      <w:proofErr w:type="spellEnd"/>
      <w:r>
        <w:t xml:space="preserve"> se </w:t>
      </w:r>
      <w:proofErr w:type="spellStart"/>
      <w:r>
        <w:t>zrušuje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1/1996 ze </w:t>
      </w:r>
      <w:proofErr w:type="spellStart"/>
      <w:r>
        <w:t>dne</w:t>
      </w:r>
      <w:proofErr w:type="spellEnd"/>
      <w:r>
        <w:t xml:space="preserve"> 19. 6. 1996,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 pro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t>nemovitostí</w:t>
      </w:r>
      <w:proofErr w:type="spellEnd"/>
      <w:r>
        <w:t>.</w:t>
      </w:r>
    </w:p>
    <w:p w14:paraId="7F6C15F9" w14:textId="77777777" w:rsidR="00F661B8" w:rsidRDefault="00F661B8">
      <w:pPr>
        <w:pStyle w:val="Zkladntext"/>
        <w:rPr>
          <w:sz w:val="26"/>
        </w:rPr>
      </w:pPr>
    </w:p>
    <w:p w14:paraId="7093EEE2" w14:textId="77777777" w:rsidR="00F661B8" w:rsidRDefault="00F661B8">
      <w:pPr>
        <w:pStyle w:val="Zkladntext"/>
        <w:spacing w:before="2"/>
        <w:rPr>
          <w:sz w:val="22"/>
        </w:rPr>
      </w:pPr>
    </w:p>
    <w:p w14:paraId="76405700" w14:textId="77777777" w:rsidR="00F661B8" w:rsidRDefault="004A739C">
      <w:pPr>
        <w:pStyle w:val="Nadpis1"/>
        <w:spacing w:before="1"/>
      </w:pPr>
      <w:proofErr w:type="spellStart"/>
      <w:r>
        <w:t>Čl</w:t>
      </w:r>
      <w:proofErr w:type="spellEnd"/>
      <w:r>
        <w:t>. 4</w:t>
      </w:r>
    </w:p>
    <w:p w14:paraId="1D56816E" w14:textId="77777777" w:rsidR="00F661B8" w:rsidRDefault="004A739C">
      <w:pPr>
        <w:spacing w:line="274" w:lineRule="exact"/>
        <w:ind w:left="97" w:right="97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Účinnost</w:t>
      </w:r>
      <w:proofErr w:type="spellEnd"/>
    </w:p>
    <w:p w14:paraId="1AB01821" w14:textId="77777777" w:rsidR="00F661B8" w:rsidRDefault="004A739C">
      <w:pPr>
        <w:pStyle w:val="Zkladntext"/>
        <w:spacing w:line="274" w:lineRule="exact"/>
        <w:ind w:left="97" w:right="2896"/>
        <w:jc w:val="center"/>
      </w:pPr>
      <w:r>
        <w:t xml:space="preserve">Tato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1. 1. 2009.</w:t>
      </w:r>
    </w:p>
    <w:p w14:paraId="709A622F" w14:textId="77777777" w:rsidR="00F661B8" w:rsidRDefault="00F661B8">
      <w:pPr>
        <w:pStyle w:val="Zkladntext"/>
        <w:rPr>
          <w:sz w:val="26"/>
        </w:rPr>
      </w:pPr>
    </w:p>
    <w:p w14:paraId="6DB587C1" w14:textId="77777777" w:rsidR="00F661B8" w:rsidRDefault="00F661B8">
      <w:pPr>
        <w:pStyle w:val="Zkladntext"/>
        <w:rPr>
          <w:sz w:val="26"/>
        </w:rPr>
      </w:pPr>
    </w:p>
    <w:p w14:paraId="6825D97E" w14:textId="64A33609" w:rsidR="00F661B8" w:rsidRDefault="004A739C">
      <w:pPr>
        <w:pStyle w:val="Zkladntext"/>
        <w:tabs>
          <w:tab w:val="left" w:pos="5954"/>
          <w:tab w:val="left" w:pos="6247"/>
        </w:tabs>
        <w:spacing w:before="230"/>
        <w:ind w:left="296" w:right="356" w:hanging="60"/>
      </w:pPr>
      <w:r>
        <w:t>………………………………………</w:t>
      </w:r>
      <w:r>
        <w:tab/>
      </w:r>
      <w:r>
        <w:rPr>
          <w:spacing w:val="-1"/>
        </w:rPr>
        <w:t xml:space="preserve">…………………………………… </w:t>
      </w:r>
      <w:r>
        <w:t>Ing. Karel   Z a t l o u k</w:t>
      </w:r>
      <w:r>
        <w:rPr>
          <w:spacing w:val="-3"/>
        </w:rPr>
        <w:t xml:space="preserve"> </w:t>
      </w:r>
      <w:r>
        <w:t xml:space="preserve">a </w:t>
      </w:r>
      <w:proofErr w:type="gramStart"/>
      <w:r>
        <w:t xml:space="preserve">l  </w:t>
      </w:r>
      <w:proofErr w:type="spellStart"/>
      <w:r>
        <w:t>v.r.</w:t>
      </w:r>
      <w:proofErr w:type="spellEnd"/>
      <w:proofErr w:type="gramEnd"/>
      <w:r>
        <w:tab/>
      </w:r>
      <w:r>
        <w:tab/>
        <w:t>Ing. Zdeněk F o l t ý</w:t>
      </w:r>
      <w:r>
        <w:rPr>
          <w:spacing w:val="-2"/>
        </w:rPr>
        <w:t xml:space="preserve"> </w:t>
      </w:r>
      <w:r>
        <w:t xml:space="preserve">n </w:t>
      </w:r>
      <w:proofErr w:type="spellStart"/>
      <w:r>
        <w:t>v.r.</w:t>
      </w:r>
      <w:proofErr w:type="spellEnd"/>
    </w:p>
    <w:p w14:paraId="0F15A3A6" w14:textId="77777777" w:rsidR="00F661B8" w:rsidRDefault="004A739C">
      <w:pPr>
        <w:pStyle w:val="Zkladntext"/>
        <w:tabs>
          <w:tab w:val="left" w:pos="6748"/>
        </w:tabs>
        <w:ind w:left="896"/>
      </w:pPr>
      <w:proofErr w:type="spellStart"/>
      <w:r>
        <w:t>místostarosta</w:t>
      </w:r>
      <w:proofErr w:type="spellEnd"/>
      <w:r>
        <w:tab/>
      </w:r>
      <w:proofErr w:type="spellStart"/>
      <w:r>
        <w:t>starosta</w:t>
      </w:r>
      <w:proofErr w:type="spellEnd"/>
    </w:p>
    <w:p w14:paraId="4C33C7DC" w14:textId="77777777" w:rsidR="00F661B8" w:rsidRDefault="00F661B8">
      <w:pPr>
        <w:pStyle w:val="Zkladntext"/>
        <w:rPr>
          <w:sz w:val="26"/>
        </w:rPr>
      </w:pPr>
    </w:p>
    <w:p w14:paraId="7987115E" w14:textId="77777777" w:rsidR="00F661B8" w:rsidRDefault="00F661B8">
      <w:pPr>
        <w:pStyle w:val="Zkladntext"/>
        <w:rPr>
          <w:sz w:val="22"/>
        </w:rPr>
      </w:pPr>
    </w:p>
    <w:sectPr w:rsidR="00F661B8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AE1"/>
    <w:multiLevelType w:val="hybridMultilevel"/>
    <w:tmpl w:val="C07600B4"/>
    <w:lvl w:ilvl="0" w:tplc="7756831C">
      <w:start w:val="1"/>
      <w:numFmt w:val="decimal"/>
      <w:lvlText w:val="(%1)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i/>
        <w:spacing w:val="-29"/>
        <w:w w:val="99"/>
        <w:sz w:val="24"/>
        <w:szCs w:val="24"/>
      </w:rPr>
    </w:lvl>
    <w:lvl w:ilvl="1" w:tplc="5A04C070">
      <w:numFmt w:val="bullet"/>
      <w:lvlText w:val="•"/>
      <w:lvlJc w:val="left"/>
      <w:pPr>
        <w:ind w:left="1038" w:hanging="708"/>
      </w:pPr>
      <w:rPr>
        <w:rFonts w:hint="default"/>
      </w:rPr>
    </w:lvl>
    <w:lvl w:ilvl="2" w:tplc="293E86C0">
      <w:numFmt w:val="bullet"/>
      <w:lvlText w:val="•"/>
      <w:lvlJc w:val="left"/>
      <w:pPr>
        <w:ind w:left="1956" w:hanging="708"/>
      </w:pPr>
      <w:rPr>
        <w:rFonts w:hint="default"/>
      </w:rPr>
    </w:lvl>
    <w:lvl w:ilvl="3" w:tplc="E98E92A8">
      <w:numFmt w:val="bullet"/>
      <w:lvlText w:val="•"/>
      <w:lvlJc w:val="left"/>
      <w:pPr>
        <w:ind w:left="2874" w:hanging="708"/>
      </w:pPr>
      <w:rPr>
        <w:rFonts w:hint="default"/>
      </w:rPr>
    </w:lvl>
    <w:lvl w:ilvl="4" w:tplc="DC9CED70">
      <w:numFmt w:val="bullet"/>
      <w:lvlText w:val="•"/>
      <w:lvlJc w:val="left"/>
      <w:pPr>
        <w:ind w:left="3792" w:hanging="708"/>
      </w:pPr>
      <w:rPr>
        <w:rFonts w:hint="default"/>
      </w:rPr>
    </w:lvl>
    <w:lvl w:ilvl="5" w:tplc="9CFAA3EC">
      <w:numFmt w:val="bullet"/>
      <w:lvlText w:val="•"/>
      <w:lvlJc w:val="left"/>
      <w:pPr>
        <w:ind w:left="4710" w:hanging="708"/>
      </w:pPr>
      <w:rPr>
        <w:rFonts w:hint="default"/>
      </w:rPr>
    </w:lvl>
    <w:lvl w:ilvl="6" w:tplc="FD4AC97C">
      <w:numFmt w:val="bullet"/>
      <w:lvlText w:val="•"/>
      <w:lvlJc w:val="left"/>
      <w:pPr>
        <w:ind w:left="5628" w:hanging="708"/>
      </w:pPr>
      <w:rPr>
        <w:rFonts w:hint="default"/>
      </w:rPr>
    </w:lvl>
    <w:lvl w:ilvl="7" w:tplc="3EC46E66">
      <w:numFmt w:val="bullet"/>
      <w:lvlText w:val="•"/>
      <w:lvlJc w:val="left"/>
      <w:pPr>
        <w:ind w:left="6546" w:hanging="708"/>
      </w:pPr>
      <w:rPr>
        <w:rFonts w:hint="default"/>
      </w:rPr>
    </w:lvl>
    <w:lvl w:ilvl="8" w:tplc="A52CF66E">
      <w:numFmt w:val="bullet"/>
      <w:lvlText w:val="•"/>
      <w:lvlJc w:val="left"/>
      <w:pPr>
        <w:ind w:left="7464" w:hanging="708"/>
      </w:pPr>
      <w:rPr>
        <w:rFonts w:hint="default"/>
      </w:rPr>
    </w:lvl>
  </w:abstractNum>
  <w:num w:numId="1" w16cid:durableId="42514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B8"/>
    <w:rsid w:val="004A739C"/>
    <w:rsid w:val="00DC6B43"/>
    <w:rsid w:val="00F6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3297"/>
  <w15:docId w15:val="{F963B987-E37A-4761-8F97-AEA820B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97" w:right="96"/>
      <w:jc w:val="center"/>
      <w:outlineLvl w:val="0"/>
    </w:pPr>
    <w:rPr>
      <w:b/>
      <w:bCs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5" w:right="1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Obecně_závazná_vyhláčka_-_daň_z_nemovitostí.doc</dc:title>
  <dc:creator>Tomas1</dc:creator>
  <cp:lastModifiedBy>Obec Bouzov</cp:lastModifiedBy>
  <cp:revision>2</cp:revision>
  <dcterms:created xsi:type="dcterms:W3CDTF">2024-09-30T13:43:00Z</dcterms:created>
  <dcterms:modified xsi:type="dcterms:W3CDTF">2024-09-30T13:43:00Z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Creator">
    <vt:lpwstr>pdfFactory www.fineprint.cz</vt:lpwstr>
  </property>
  <property fmtid="{D5CDD505-2E9C-101B-9397-08002B2CF9AE}" pid="4" name="LastSaved">
    <vt:filetime>2012-03-13T00:00:00Z</vt:filetime>
  </property>
</Properties>
</file>