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C9CF6" w14:textId="77777777" w:rsidR="003B08DA" w:rsidRDefault="003B08DA" w:rsidP="003B08DA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335FFE33" wp14:editId="04A7C678">
            <wp:simplePos x="0" y="0"/>
            <wp:positionH relativeFrom="column">
              <wp:posOffset>2599690</wp:posOffset>
            </wp:positionH>
            <wp:positionV relativeFrom="paragraph">
              <wp:posOffset>-99060</wp:posOffset>
            </wp:positionV>
            <wp:extent cx="568325" cy="571500"/>
            <wp:effectExtent l="0" t="0" r="3175" b="0"/>
            <wp:wrapSquare wrapText="right"/>
            <wp:docPr id="1" name="Obrázek 1" descr="Kopie Staň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Staňk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E65AD" w14:textId="77777777" w:rsidR="003B08DA" w:rsidRDefault="003B08DA" w:rsidP="003B08DA">
      <w:pPr>
        <w:pStyle w:val="Zhlav"/>
        <w:jc w:val="center"/>
        <w:rPr>
          <w:b/>
          <w:bCs/>
          <w:sz w:val="40"/>
          <w:szCs w:val="40"/>
        </w:rPr>
      </w:pPr>
    </w:p>
    <w:p w14:paraId="03FF95A9" w14:textId="77777777" w:rsidR="003B08DA" w:rsidRPr="00A338E1" w:rsidRDefault="003B08DA" w:rsidP="003B08DA">
      <w:pPr>
        <w:pStyle w:val="Zhlav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 E C   S T A Ň K O V I C E</w:t>
      </w:r>
    </w:p>
    <w:p w14:paraId="7F1D38F3" w14:textId="77777777" w:rsidR="003B08DA" w:rsidRPr="008846E7" w:rsidRDefault="003B08DA" w:rsidP="003B08DA">
      <w:pPr>
        <w:autoSpaceDE w:val="0"/>
        <w:autoSpaceDN w:val="0"/>
        <w:adjustRightInd w:val="0"/>
        <w:jc w:val="center"/>
        <w:rPr>
          <w:b/>
          <w:bCs/>
          <w:sz w:val="22"/>
          <w:szCs w:val="32"/>
        </w:rPr>
      </w:pPr>
    </w:p>
    <w:p w14:paraId="1F1ECA33" w14:textId="77777777" w:rsidR="003B08DA" w:rsidRDefault="003B08DA" w:rsidP="003B08D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ZASTUPITELSTVO OBCE STAŇKOVICE</w:t>
      </w:r>
    </w:p>
    <w:p w14:paraId="7B3FCD2E" w14:textId="77777777" w:rsidR="003B08DA" w:rsidRPr="008846E7" w:rsidRDefault="003B08DA" w:rsidP="003B08DA">
      <w:pPr>
        <w:autoSpaceDE w:val="0"/>
        <w:autoSpaceDN w:val="0"/>
        <w:adjustRightInd w:val="0"/>
        <w:jc w:val="center"/>
        <w:rPr>
          <w:b/>
          <w:bCs/>
          <w:sz w:val="22"/>
          <w:szCs w:val="20"/>
        </w:rPr>
      </w:pPr>
    </w:p>
    <w:p w14:paraId="59AF68ED" w14:textId="77777777" w:rsidR="003B08DA" w:rsidRPr="008846E7" w:rsidRDefault="003B08DA" w:rsidP="003B08DA">
      <w:pPr>
        <w:autoSpaceDE w:val="0"/>
        <w:autoSpaceDN w:val="0"/>
        <w:adjustRightInd w:val="0"/>
        <w:jc w:val="center"/>
        <w:rPr>
          <w:b/>
          <w:bCs/>
          <w:sz w:val="22"/>
        </w:rPr>
      </w:pPr>
      <w:r w:rsidRPr="00CC3156">
        <w:rPr>
          <w:b/>
          <w:bCs/>
          <w:sz w:val="32"/>
          <w:szCs w:val="32"/>
        </w:rPr>
        <w:t xml:space="preserve">Obecně závazná vyhláška </w:t>
      </w:r>
    </w:p>
    <w:p w14:paraId="395938D2" w14:textId="77777777" w:rsidR="003B08DA" w:rsidRPr="00075219" w:rsidRDefault="003B08DA" w:rsidP="003B08D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75219">
        <w:rPr>
          <w:b/>
          <w:sz w:val="28"/>
          <w:szCs w:val="28"/>
        </w:rPr>
        <w:t>o stanovení výjimečných případů, kdy doba nočního klidu je vymezena dobou kratší</w:t>
      </w:r>
    </w:p>
    <w:p w14:paraId="2EE59945" w14:textId="77777777" w:rsidR="003B08DA" w:rsidRPr="008846E7" w:rsidRDefault="003B08DA" w:rsidP="003B08DA">
      <w:pPr>
        <w:autoSpaceDE w:val="0"/>
        <w:autoSpaceDN w:val="0"/>
        <w:adjustRightInd w:val="0"/>
        <w:jc w:val="both"/>
        <w:rPr>
          <w:i/>
          <w:sz w:val="22"/>
        </w:rPr>
      </w:pPr>
    </w:p>
    <w:p w14:paraId="3935C2C2" w14:textId="742CEB5B" w:rsidR="003B08DA" w:rsidRPr="00944DB4" w:rsidRDefault="003B08DA" w:rsidP="003B08DA">
      <w:pPr>
        <w:jc w:val="both"/>
        <w:rPr>
          <w:i/>
        </w:rPr>
      </w:pPr>
      <w:r w:rsidRPr="00944DB4">
        <w:rPr>
          <w:i/>
        </w:rPr>
        <w:t xml:space="preserve">Zastupitelstvo </w:t>
      </w:r>
      <w:r>
        <w:rPr>
          <w:i/>
        </w:rPr>
        <w:t>obce Staňkovice</w:t>
      </w:r>
      <w:r w:rsidRPr="00944DB4">
        <w:rPr>
          <w:i/>
        </w:rPr>
        <w:t xml:space="preserve"> se na svém zasedání dne </w:t>
      </w:r>
      <w:r w:rsidR="00831841" w:rsidRPr="00831841">
        <w:rPr>
          <w:i/>
        </w:rPr>
        <w:t>20.3.2024</w:t>
      </w:r>
      <w:r w:rsidR="00466F08" w:rsidRPr="00831841">
        <w:rPr>
          <w:i/>
        </w:rPr>
        <w:t xml:space="preserve"> </w:t>
      </w:r>
      <w:r w:rsidR="004E20C9">
        <w:rPr>
          <w:i/>
        </w:rPr>
        <w:t xml:space="preserve">rozhodlo </w:t>
      </w:r>
      <w:r w:rsidRPr="00944DB4">
        <w:rPr>
          <w:i/>
        </w:rPr>
        <w:t xml:space="preserve">vydat na základě § 10 písm. </w:t>
      </w:r>
      <w:r>
        <w:rPr>
          <w:i/>
        </w:rPr>
        <w:t>b), d)</w:t>
      </w:r>
      <w:r w:rsidRPr="00944DB4">
        <w:rPr>
          <w:i/>
        </w:rPr>
        <w:t xml:space="preserve"> a § 84 odst. 2 písm. h) zákona č. 128/2000 Sb., o</w:t>
      </w:r>
      <w:r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>
        <w:rPr>
          <w:i/>
        </w:rPr>
        <w:t xml:space="preserve"> a na základě </w:t>
      </w:r>
      <w:r w:rsidRPr="00E34FAB">
        <w:rPr>
          <w:i/>
        </w:rPr>
        <w:t>§ 5 odst. 6 zákona č. 251/2016</w:t>
      </w:r>
      <w:r>
        <w:rPr>
          <w:i/>
        </w:rPr>
        <w:t> </w:t>
      </w:r>
      <w:r w:rsidRPr="00E34FAB">
        <w:rPr>
          <w:i/>
        </w:rPr>
        <w:t>Sb., o některých přestupcích</w:t>
      </w:r>
      <w:r w:rsidRPr="00944DB4">
        <w:rPr>
          <w:i/>
        </w:rPr>
        <w:t>,</w:t>
      </w:r>
      <w:r>
        <w:rPr>
          <w:i/>
        </w:rPr>
        <w:t xml:space="preserve"> ve znění pozdějších předpisů,</w:t>
      </w:r>
      <w:r w:rsidRPr="00944DB4">
        <w:rPr>
          <w:i/>
        </w:rPr>
        <w:t xml:space="preserve"> tuto obecně závaznou vyhlášku (dále jen „vyhláška“):</w:t>
      </w:r>
    </w:p>
    <w:p w14:paraId="5E7D6C62" w14:textId="77777777" w:rsidR="003B08DA" w:rsidRPr="008846E7" w:rsidRDefault="003B08DA" w:rsidP="003B08DA">
      <w:pPr>
        <w:autoSpaceDE w:val="0"/>
        <w:autoSpaceDN w:val="0"/>
        <w:adjustRightInd w:val="0"/>
        <w:rPr>
          <w:sz w:val="22"/>
        </w:rPr>
      </w:pPr>
    </w:p>
    <w:p w14:paraId="0CB3D8A0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 1</w:t>
      </w:r>
    </w:p>
    <w:p w14:paraId="6A8A309D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5277E39B" w14:textId="77777777" w:rsidR="003B08DA" w:rsidRPr="008846E7" w:rsidRDefault="003B08DA" w:rsidP="003B08DA">
      <w:pPr>
        <w:autoSpaceDE w:val="0"/>
        <w:autoSpaceDN w:val="0"/>
        <w:adjustRightInd w:val="0"/>
        <w:ind w:firstLine="708"/>
        <w:rPr>
          <w:sz w:val="20"/>
        </w:rPr>
      </w:pPr>
    </w:p>
    <w:p w14:paraId="5C6392B7" w14:textId="77777777" w:rsidR="003B08DA" w:rsidRPr="0038003C" w:rsidRDefault="003B08DA" w:rsidP="003B08D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Znakapoznpodarou"/>
        </w:rPr>
        <w:footnoteReference w:id="1"/>
      </w:r>
      <w:r w:rsidRPr="0038003C">
        <w:rPr>
          <w:vertAlign w:val="superscript"/>
        </w:rPr>
        <w:t>)</w:t>
      </w:r>
    </w:p>
    <w:p w14:paraId="73005569" w14:textId="77777777" w:rsidR="003B08DA" w:rsidRPr="007E0FE2" w:rsidRDefault="003B08DA" w:rsidP="003B08DA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7E0FE2">
        <w:t xml:space="preserve">Cílem této vyhlášky </w:t>
      </w:r>
      <w:r>
        <w:t xml:space="preserve">je </w:t>
      </w:r>
      <w:r w:rsidRPr="007E0FE2">
        <w:t xml:space="preserve">zmírnění ochrany nočního klidu ve výjimečných případech, a 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Pr="00944DB4">
        <w:rPr>
          <w:rStyle w:val="Znakapoznpodarou"/>
        </w:rPr>
        <w:footnoteReference w:id="2"/>
      </w:r>
      <w:r w:rsidRPr="00944DB4">
        <w:rPr>
          <w:vertAlign w:val="superscript"/>
        </w:rPr>
        <w:t>)</w:t>
      </w:r>
    </w:p>
    <w:p w14:paraId="6ED9A2AA" w14:textId="77777777" w:rsidR="003B08DA" w:rsidRPr="008846E7" w:rsidRDefault="003B08DA" w:rsidP="003B08DA">
      <w:pPr>
        <w:autoSpaceDE w:val="0"/>
        <w:autoSpaceDN w:val="0"/>
        <w:adjustRightInd w:val="0"/>
        <w:jc w:val="both"/>
        <w:rPr>
          <w:sz w:val="22"/>
        </w:rPr>
      </w:pPr>
    </w:p>
    <w:p w14:paraId="2E4247F9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 2</w:t>
      </w:r>
    </w:p>
    <w:p w14:paraId="3FCFEACE" w14:textId="77777777" w:rsidR="003B08DA" w:rsidRPr="00C47F9B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C47F9B">
        <w:rPr>
          <w:b/>
          <w:bCs/>
        </w:rPr>
        <w:t xml:space="preserve">Výjimečné případy, kdy doba nočního klidu je vymezena </w:t>
      </w:r>
      <w:r>
        <w:rPr>
          <w:b/>
          <w:bCs/>
        </w:rPr>
        <w:t>dobou kratší</w:t>
      </w:r>
    </w:p>
    <w:p w14:paraId="266FC864" w14:textId="77777777" w:rsidR="003B08DA" w:rsidRPr="00EA4F18" w:rsidRDefault="003B08DA" w:rsidP="003B08DA">
      <w:pPr>
        <w:autoSpaceDE w:val="0"/>
        <w:autoSpaceDN w:val="0"/>
        <w:adjustRightInd w:val="0"/>
        <w:rPr>
          <w:sz w:val="20"/>
        </w:rPr>
      </w:pPr>
    </w:p>
    <w:p w14:paraId="296758DB" w14:textId="77777777" w:rsidR="003B08DA" w:rsidRPr="004B5407" w:rsidRDefault="003B08DA" w:rsidP="003B08DA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Doba nočního klidu je vymezena kratší dobou od 2:00 do 6:00 hodin na území celé obce z 22.06.2024 na 23.06.2024 (Den otců) a z 20.07.2024 na 21.07.2024 (Memoriál Adlera).</w:t>
      </w:r>
      <w:r w:rsidRPr="00B65460">
        <w:t xml:space="preserve"> kdy se</w:t>
      </w:r>
      <w:r>
        <w:t xml:space="preserve"> v areálu fotbalového hřiště </w:t>
      </w:r>
      <w:r w:rsidRPr="004B5407">
        <w:t xml:space="preserve">koná </w:t>
      </w:r>
      <w:r>
        <w:t>kulturní a</w:t>
      </w:r>
      <w:r w:rsidRPr="004B5407">
        <w:t xml:space="preserve"> sportovní akce</w:t>
      </w:r>
      <w:r>
        <w:t xml:space="preserve">.    </w:t>
      </w:r>
    </w:p>
    <w:p w14:paraId="7CC889B2" w14:textId="77777777" w:rsidR="003B08DA" w:rsidRPr="00F4708B" w:rsidRDefault="003B08DA" w:rsidP="003B08DA">
      <w:pPr>
        <w:numPr>
          <w:ilvl w:val="0"/>
          <w:numId w:val="2"/>
        </w:numPr>
        <w:autoSpaceDE w:val="0"/>
        <w:autoSpaceDN w:val="0"/>
        <w:adjustRightInd w:val="0"/>
        <w:jc w:val="both"/>
      </w:pPr>
      <w:r w:rsidRPr="00F4708B">
        <w:t xml:space="preserve">Pořadatel akce dle odst. 1 je povinen informovat o termínu konání akce Obecní úřad Staňkovice nejméně 20 dnů před konáním akce. Termín konání akcí se zveřejňuje na úřední desce Obecního úřadu Staňkovice nejméně po dobu 15 dnů přede dnem </w:t>
      </w:r>
      <w:r w:rsidR="008F1B0D">
        <w:t xml:space="preserve">jejího </w:t>
      </w:r>
      <w:r w:rsidRPr="00F4708B">
        <w:t>konání</w:t>
      </w:r>
      <w:r w:rsidRPr="00F4708B">
        <w:rPr>
          <w:rStyle w:val="Znakapoznpodarou"/>
        </w:rPr>
        <w:footnoteReference w:id="3"/>
      </w:r>
      <w:r w:rsidRPr="00F4708B">
        <w:rPr>
          <w:vertAlign w:val="superscript"/>
        </w:rPr>
        <w:t>)</w:t>
      </w:r>
      <w:r w:rsidRPr="00F4708B">
        <w:t>; zveřejňování termínu konání akce provádí Obecní úřad S</w:t>
      </w:r>
      <w:r>
        <w:t>taňkovice</w:t>
      </w:r>
    </w:p>
    <w:p w14:paraId="34575E16" w14:textId="77777777" w:rsidR="003B08DA" w:rsidRPr="005F00E8" w:rsidRDefault="003B08DA" w:rsidP="003B08DA">
      <w:pPr>
        <w:autoSpaceDE w:val="0"/>
        <w:autoSpaceDN w:val="0"/>
        <w:adjustRightInd w:val="0"/>
        <w:rPr>
          <w:b/>
          <w:bCs/>
        </w:rPr>
      </w:pPr>
    </w:p>
    <w:p w14:paraId="16C1458A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3</w:t>
      </w:r>
    </w:p>
    <w:p w14:paraId="0F9586EB" w14:textId="77777777" w:rsidR="003B08DA" w:rsidRPr="00944DB4" w:rsidRDefault="003B08DA" w:rsidP="003B08DA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14:paraId="7665994B" w14:textId="77777777" w:rsidR="003B08DA" w:rsidRPr="00944DB4" w:rsidRDefault="003B08DA" w:rsidP="003B08DA">
      <w:pPr>
        <w:autoSpaceDE w:val="0"/>
        <w:autoSpaceDN w:val="0"/>
        <w:adjustRightInd w:val="0"/>
      </w:pPr>
    </w:p>
    <w:p w14:paraId="32B6CDBB" w14:textId="77777777" w:rsidR="003B08DA" w:rsidRPr="004B5407" w:rsidRDefault="003B08DA" w:rsidP="003B08DA">
      <w:pPr>
        <w:autoSpaceDE w:val="0"/>
        <w:autoSpaceDN w:val="0"/>
        <w:adjustRightInd w:val="0"/>
      </w:pPr>
      <w:r>
        <w:t xml:space="preserve">Tato vyhláška nabývá platnosti jejím vyhlášením, tedy zveřejněním ve Sbírce právních předpisů územních samosprávných celků a některých správních úřadů.                                                       Ruší se vyhláška číslo 1/2020 </w:t>
      </w:r>
      <w:r w:rsidRPr="00F34037">
        <w:rPr>
          <w:sz w:val="22"/>
          <w:szCs w:val="22"/>
        </w:rPr>
        <w:t>o stanovení výjimečných případů, kdy doba nočního klidu je vymezena dobou kratší</w:t>
      </w:r>
      <w:r>
        <w:t xml:space="preserve">, </w:t>
      </w:r>
      <w:r w:rsidRPr="004B5407">
        <w:t xml:space="preserve">přijatá zastupitelstvem </w:t>
      </w:r>
      <w:r>
        <w:t>obce Staňkovice</w:t>
      </w:r>
      <w:r w:rsidRPr="004B5407">
        <w:t xml:space="preserve"> na zasedání dne 29. 7. 2020 </w:t>
      </w:r>
      <w:r>
        <w:t xml:space="preserve">usnesením číslo </w:t>
      </w:r>
      <w:r w:rsidRPr="004B5407">
        <w:t>14-195/2020.</w:t>
      </w:r>
    </w:p>
    <w:p w14:paraId="29FF3F99" w14:textId="77777777" w:rsidR="003B08DA" w:rsidRPr="004B5407" w:rsidRDefault="003B08DA" w:rsidP="003B08DA">
      <w:pPr>
        <w:tabs>
          <w:tab w:val="left" w:pos="3780"/>
        </w:tabs>
        <w:jc w:val="both"/>
      </w:pPr>
    </w:p>
    <w:p w14:paraId="4037A10E" w14:textId="77777777" w:rsidR="003B08DA" w:rsidRDefault="003B08DA" w:rsidP="003B08DA">
      <w:pPr>
        <w:tabs>
          <w:tab w:val="left" w:pos="3780"/>
        </w:tabs>
        <w:jc w:val="both"/>
      </w:pPr>
    </w:p>
    <w:p w14:paraId="312A7313" w14:textId="77777777" w:rsidR="003B08DA" w:rsidRDefault="003B08DA" w:rsidP="003B08DA">
      <w:pPr>
        <w:tabs>
          <w:tab w:val="left" w:pos="3780"/>
        </w:tabs>
        <w:jc w:val="both"/>
      </w:pPr>
    </w:p>
    <w:p w14:paraId="448D6356" w14:textId="77777777" w:rsidR="003B08DA" w:rsidRDefault="003B08DA" w:rsidP="003B08DA">
      <w:pPr>
        <w:tabs>
          <w:tab w:val="left" w:pos="3780"/>
        </w:tabs>
        <w:jc w:val="both"/>
      </w:pPr>
    </w:p>
    <w:p w14:paraId="7F28C65C" w14:textId="77777777" w:rsidR="003B08DA" w:rsidRDefault="003B08DA" w:rsidP="003B08DA">
      <w:pPr>
        <w:tabs>
          <w:tab w:val="left" w:pos="3780"/>
        </w:tabs>
        <w:jc w:val="both"/>
      </w:pPr>
    </w:p>
    <w:p w14:paraId="5A4EBBBE" w14:textId="77777777" w:rsidR="003B08DA" w:rsidRDefault="003B08DA" w:rsidP="003B08DA">
      <w:pPr>
        <w:tabs>
          <w:tab w:val="left" w:pos="3780"/>
        </w:tabs>
        <w:jc w:val="both"/>
      </w:pPr>
    </w:p>
    <w:p w14:paraId="19855FD6" w14:textId="77777777" w:rsidR="003B08DA" w:rsidRDefault="003B08DA" w:rsidP="003B08DA">
      <w:pPr>
        <w:tabs>
          <w:tab w:val="left" w:pos="3780"/>
        </w:tabs>
        <w:jc w:val="both"/>
      </w:pPr>
    </w:p>
    <w:p w14:paraId="2CBA593A" w14:textId="77777777" w:rsidR="003B08DA" w:rsidRPr="007D05BE" w:rsidRDefault="003B08DA" w:rsidP="003B08DA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3B08DA" w:rsidRPr="007D05BE" w14:paraId="510F82B9" w14:textId="77777777" w:rsidTr="007F1A30">
        <w:trPr>
          <w:jc w:val="center"/>
        </w:trPr>
        <w:tc>
          <w:tcPr>
            <w:tcW w:w="4536" w:type="dxa"/>
          </w:tcPr>
          <w:p w14:paraId="03FDE0AA" w14:textId="77777777" w:rsidR="003B08DA" w:rsidRPr="007D05BE" w:rsidRDefault="003B08DA" w:rsidP="007F1A30">
            <w:pPr>
              <w:jc w:val="center"/>
            </w:pPr>
            <w:r w:rsidRPr="007D05BE">
              <w:t>……………………………….</w:t>
            </w:r>
          </w:p>
        </w:tc>
        <w:tc>
          <w:tcPr>
            <w:tcW w:w="4499" w:type="dxa"/>
          </w:tcPr>
          <w:p w14:paraId="3DA07E06" w14:textId="77777777" w:rsidR="003B08DA" w:rsidRPr="007D05BE" w:rsidRDefault="00E53041" w:rsidP="007F1A30">
            <w:pPr>
              <w:jc w:val="center"/>
            </w:pPr>
            <w:r>
              <w:t xml:space="preserve">           </w:t>
            </w:r>
            <w:r w:rsidR="003B08DA" w:rsidRPr="007D05BE">
              <w:t>……………………………….</w:t>
            </w:r>
          </w:p>
        </w:tc>
      </w:tr>
      <w:tr w:rsidR="003B08DA" w:rsidRPr="007D05BE" w14:paraId="39F933C0" w14:textId="77777777" w:rsidTr="007F1A30">
        <w:trPr>
          <w:jc w:val="center"/>
        </w:trPr>
        <w:tc>
          <w:tcPr>
            <w:tcW w:w="4536" w:type="dxa"/>
          </w:tcPr>
          <w:p w14:paraId="5B16C52D" w14:textId="77777777" w:rsidR="003B08DA" w:rsidRPr="007D05BE" w:rsidRDefault="003B08DA" w:rsidP="007F1A30">
            <w:r>
              <w:t xml:space="preserve">                      Zdeněk </w:t>
            </w:r>
            <w:proofErr w:type="spellStart"/>
            <w:r>
              <w:t>Kutřín</w:t>
            </w:r>
            <w:proofErr w:type="spellEnd"/>
            <w:r>
              <w:t xml:space="preserve"> v.r.</w:t>
            </w:r>
          </w:p>
          <w:p w14:paraId="1397449D" w14:textId="77777777" w:rsidR="003B08DA" w:rsidRPr="007D05BE" w:rsidRDefault="00E53041" w:rsidP="00E53041">
            <w:pPr>
              <w:jc w:val="center"/>
            </w:pPr>
            <w:r>
              <w:t>mí</w:t>
            </w:r>
            <w:r w:rsidR="003B08DA" w:rsidRPr="007D05BE">
              <w:t>stostarosta</w:t>
            </w:r>
          </w:p>
        </w:tc>
        <w:tc>
          <w:tcPr>
            <w:tcW w:w="4499" w:type="dxa"/>
          </w:tcPr>
          <w:p w14:paraId="2D2FF8C7" w14:textId="77777777" w:rsidR="003B08DA" w:rsidRPr="007D05BE" w:rsidRDefault="00E53041" w:rsidP="007F1A30">
            <w:pPr>
              <w:jc w:val="center"/>
            </w:pPr>
            <w:r>
              <w:t xml:space="preserve">             </w:t>
            </w:r>
            <w:r w:rsidR="003B08DA">
              <w:t>Pavel Pařízek v.r.</w:t>
            </w:r>
          </w:p>
          <w:p w14:paraId="2467B78C" w14:textId="77777777" w:rsidR="003B08DA" w:rsidRPr="007D05BE" w:rsidRDefault="003B08DA" w:rsidP="007F1A30">
            <w:r>
              <w:t xml:space="preserve">                      </w:t>
            </w:r>
            <w:r w:rsidR="00E53041">
              <w:t xml:space="preserve">      </w:t>
            </w:r>
            <w:r>
              <w:t xml:space="preserve">       </w:t>
            </w:r>
            <w:r w:rsidRPr="007D05BE">
              <w:t>starost</w:t>
            </w:r>
            <w:r>
              <w:t>a</w:t>
            </w:r>
          </w:p>
        </w:tc>
      </w:tr>
    </w:tbl>
    <w:p w14:paraId="284327F1" w14:textId="77777777" w:rsidR="00036E80" w:rsidRDefault="00036E80"/>
    <w:sectPr w:rsidR="0003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71E84" w14:textId="77777777" w:rsidR="00A823B3" w:rsidRDefault="00A823B3" w:rsidP="003B08DA">
      <w:r>
        <w:separator/>
      </w:r>
    </w:p>
  </w:endnote>
  <w:endnote w:type="continuationSeparator" w:id="0">
    <w:p w14:paraId="35E9817E" w14:textId="77777777" w:rsidR="00A823B3" w:rsidRDefault="00A823B3" w:rsidP="003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40E13" w14:textId="77777777" w:rsidR="00A823B3" w:rsidRDefault="00A823B3" w:rsidP="003B08DA">
      <w:r>
        <w:separator/>
      </w:r>
    </w:p>
  </w:footnote>
  <w:footnote w:type="continuationSeparator" w:id="0">
    <w:p w14:paraId="1E060120" w14:textId="77777777" w:rsidR="00A823B3" w:rsidRDefault="00A823B3" w:rsidP="003B08DA">
      <w:r>
        <w:continuationSeparator/>
      </w:r>
    </w:p>
  </w:footnote>
  <w:footnote w:id="1">
    <w:p w14:paraId="36E59DB6" w14:textId="77777777" w:rsidR="003B08DA" w:rsidRPr="003137E2" w:rsidRDefault="003B08DA" w:rsidP="003B08DA">
      <w:pPr>
        <w:pStyle w:val="Textpoznpodarou"/>
        <w:ind w:left="170" w:hanging="170"/>
        <w:jc w:val="both"/>
      </w:pPr>
      <w:r w:rsidRPr="003137E2">
        <w:rPr>
          <w:rStyle w:val="Znakapoznpodarou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 w:rsidRPr="003137E2">
        <w:t>a § 5 odst. 6 zákona č. 251/2016 Sb.,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14:paraId="21E02789" w14:textId="77777777" w:rsidR="003B08DA" w:rsidRPr="00944DB4" w:rsidRDefault="003B08DA" w:rsidP="003B08DA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2F597322" w14:textId="77777777" w:rsidR="003B08DA" w:rsidRPr="00350501" w:rsidRDefault="003B08DA" w:rsidP="003B08DA">
      <w:pPr>
        <w:pStyle w:val="Textpoznpodarou"/>
        <w:ind w:left="198" w:hanging="198"/>
        <w:jc w:val="both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</w:t>
      </w:r>
      <w:r>
        <w:t>za účelem naplnění zásady předvídatelnosti nocí, kdy dojde ke konkrétnímu naplnění vymezení doby nočního klidu kratší dobou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64CAA"/>
    <w:multiLevelType w:val="hybridMultilevel"/>
    <w:tmpl w:val="893A21AC"/>
    <w:lvl w:ilvl="0" w:tplc="16341B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325126">
    <w:abstractNumId w:val="1"/>
  </w:num>
  <w:num w:numId="2" w16cid:durableId="204192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DA"/>
    <w:rsid w:val="00036E80"/>
    <w:rsid w:val="003B08DA"/>
    <w:rsid w:val="00466F08"/>
    <w:rsid w:val="004E20C9"/>
    <w:rsid w:val="00831841"/>
    <w:rsid w:val="008F1B0D"/>
    <w:rsid w:val="00A823B3"/>
    <w:rsid w:val="00C63CE0"/>
    <w:rsid w:val="00E53041"/>
    <w:rsid w:val="00E9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55B6"/>
  <w15:docId w15:val="{57E0FA4F-1E84-4A2A-8048-BC67FD75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0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3B08D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3B08D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3B08DA"/>
    <w:rPr>
      <w:vertAlign w:val="superscript"/>
    </w:rPr>
  </w:style>
  <w:style w:type="paragraph" w:styleId="Zhlav">
    <w:name w:val="header"/>
    <w:basedOn w:val="Normln"/>
    <w:link w:val="ZhlavChar"/>
    <w:uiPriority w:val="99"/>
    <w:rsid w:val="003B08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08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Obec Staňkovice</cp:lastModifiedBy>
  <cp:revision>2</cp:revision>
  <dcterms:created xsi:type="dcterms:W3CDTF">2024-05-22T11:52:00Z</dcterms:created>
  <dcterms:modified xsi:type="dcterms:W3CDTF">2024-05-22T11:52:00Z</dcterms:modified>
</cp:coreProperties>
</file>