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482B" w14:textId="77777777" w:rsidR="00544BBA" w:rsidRDefault="00544BBA">
      <w:pPr>
        <w:jc w:val="center"/>
        <w:rPr>
          <w:rFonts w:ascii="Arial" w:hAnsi="Arial" w:cs="Arial"/>
          <w:b/>
          <w:sz w:val="28"/>
          <w:szCs w:val="28"/>
        </w:rPr>
      </w:pPr>
    </w:p>
    <w:p w14:paraId="7078745B" w14:textId="69DFEE26" w:rsidR="00544BBA" w:rsidRDefault="00544B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Nařízení města </w:t>
      </w:r>
      <w:r w:rsidR="006278DC">
        <w:rPr>
          <w:rFonts w:ascii="Arial" w:hAnsi="Arial" w:cs="Arial"/>
          <w:b/>
          <w:sz w:val="28"/>
          <w:szCs w:val="28"/>
        </w:rPr>
        <w:t xml:space="preserve">Hostomice č. 1/2026, </w:t>
      </w:r>
    </w:p>
    <w:p w14:paraId="3CC5E6A8" w14:textId="48B25C7A" w:rsidR="006278DC" w:rsidRDefault="006278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kterým se vydává tržní řad města Hostomice</w:t>
      </w:r>
    </w:p>
    <w:p w14:paraId="5814C5FC" w14:textId="77777777" w:rsidR="00544BBA" w:rsidRDefault="00544BBA">
      <w:pPr>
        <w:jc w:val="center"/>
        <w:rPr>
          <w:rFonts w:ascii="Arial" w:hAnsi="Arial" w:cs="Arial"/>
          <w:b/>
          <w:sz w:val="28"/>
          <w:szCs w:val="28"/>
        </w:rPr>
      </w:pPr>
    </w:p>
    <w:p w14:paraId="7C972F13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4EF5F83E" w14:textId="29FAA4A8" w:rsidR="00544BBA" w:rsidRDefault="006278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544BBA">
        <w:rPr>
          <w:rFonts w:ascii="Arial" w:hAnsi="Arial" w:cs="Arial"/>
          <w:sz w:val="22"/>
          <w:szCs w:val="22"/>
        </w:rPr>
        <w:t xml:space="preserve"> města </w:t>
      </w:r>
      <w:r>
        <w:rPr>
          <w:rFonts w:ascii="Arial" w:hAnsi="Arial" w:cs="Arial"/>
          <w:sz w:val="22"/>
          <w:szCs w:val="22"/>
        </w:rPr>
        <w:t>Hostomice</w:t>
      </w:r>
      <w:r w:rsidR="00544BBA">
        <w:rPr>
          <w:rFonts w:ascii="Arial" w:hAnsi="Arial" w:cs="Arial"/>
          <w:sz w:val="22"/>
          <w:szCs w:val="22"/>
        </w:rPr>
        <w:t xml:space="preserve"> schválil</w:t>
      </w:r>
      <w:r>
        <w:rPr>
          <w:rFonts w:ascii="Arial" w:hAnsi="Arial" w:cs="Arial"/>
          <w:sz w:val="22"/>
          <w:szCs w:val="22"/>
        </w:rPr>
        <w:t>o dne 24.2.2026</w:t>
      </w:r>
      <w:r w:rsidR="00544BBA">
        <w:rPr>
          <w:rFonts w:ascii="Arial" w:hAnsi="Arial" w:cs="Arial"/>
          <w:sz w:val="22"/>
          <w:szCs w:val="22"/>
        </w:rPr>
        <w:t xml:space="preserve"> </w:t>
      </w:r>
      <w:r w:rsidR="00F53468">
        <w:rPr>
          <w:rFonts w:ascii="Arial" w:hAnsi="Arial" w:cs="Arial"/>
          <w:sz w:val="22"/>
          <w:szCs w:val="22"/>
        </w:rPr>
        <w:t xml:space="preserve">svým usnesením č. </w:t>
      </w:r>
      <w:r w:rsidR="00825A15">
        <w:rPr>
          <w:rFonts w:ascii="Arial" w:hAnsi="Arial" w:cs="Arial"/>
          <w:sz w:val="22"/>
          <w:szCs w:val="22"/>
        </w:rPr>
        <w:t>3</w:t>
      </w:r>
      <w:r w:rsidR="00F53468">
        <w:rPr>
          <w:rFonts w:ascii="Arial" w:hAnsi="Arial" w:cs="Arial"/>
          <w:sz w:val="22"/>
          <w:szCs w:val="22"/>
        </w:rPr>
        <w:t xml:space="preserve"> </w:t>
      </w:r>
      <w:r w:rsidR="00544BBA">
        <w:rPr>
          <w:rFonts w:ascii="Arial" w:hAnsi="Arial" w:cs="Arial"/>
          <w:sz w:val="22"/>
          <w:szCs w:val="22"/>
        </w:rPr>
        <w:t>na základě ustanovení § 18 zákona č. 455/1991 Sb., o živnostenském podnikání (živnostenský zákon), ve znění pozdějších předpisů, a v souladu s ustanovením § 11 odst. 1 a § 102 odst. </w:t>
      </w:r>
      <w:r>
        <w:rPr>
          <w:rFonts w:ascii="Arial" w:hAnsi="Arial" w:cs="Arial"/>
          <w:sz w:val="22"/>
          <w:szCs w:val="22"/>
        </w:rPr>
        <w:t xml:space="preserve">3 </w:t>
      </w:r>
      <w:r w:rsidR="00544BBA">
        <w:rPr>
          <w:rFonts w:ascii="Arial" w:hAnsi="Arial" w:cs="Arial"/>
          <w:sz w:val="22"/>
          <w:szCs w:val="22"/>
        </w:rPr>
        <w:t>zákona č. 128/2000 Sb., o obcích (obecní zřízení), ve znění pozdějších předpisů, toto nařízení.</w:t>
      </w:r>
    </w:p>
    <w:p w14:paraId="4D41449B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5BF1BF3B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64421ADD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70D87B8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nařízení</w:t>
      </w:r>
    </w:p>
    <w:p w14:paraId="3D1C8C37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0B3BE2D0" w14:textId="53733157" w:rsidR="00544BBA" w:rsidRDefault="00544BBA">
      <w:pPr>
        <w:pStyle w:val="Odstavecseseznamem1"/>
        <w:numPr>
          <w:ilvl w:val="0"/>
          <w:numId w:val="7"/>
        </w:numPr>
        <w:spacing w:after="0"/>
      </w:pPr>
      <w:r>
        <w:t>Předmětem tohoto nařízení je stanovení podmínek nabízení a prodeje zboží a nabízení a poskytování služby mimo provozovnu určenou k tomuto účelu rozhodnutím, opatřením nebo jiným úkonem vyžadovaným stavebním zákonem</w:t>
      </w:r>
      <w:r>
        <w:rPr>
          <w:rStyle w:val="Znakapoznpodarou"/>
        </w:rPr>
        <w:footnoteReference w:id="1"/>
      </w:r>
      <w:r>
        <w:t xml:space="preserve">, a vymezení míst na území města </w:t>
      </w:r>
      <w:r w:rsidR="00003DD3">
        <w:t>Hostomice</w:t>
      </w:r>
      <w:r>
        <w:t>, na kterých lze provádět tuto činnost.</w:t>
      </w:r>
    </w:p>
    <w:p w14:paraId="13790E52" w14:textId="77777777" w:rsidR="00544BBA" w:rsidRDefault="00544BBA">
      <w:pPr>
        <w:pStyle w:val="Odstavecseseznamem1"/>
        <w:ind w:left="360"/>
      </w:pPr>
    </w:p>
    <w:p w14:paraId="26272194" w14:textId="7A0440BC" w:rsidR="00544BBA" w:rsidRDefault="00544BBA">
      <w:pPr>
        <w:pStyle w:val="Odstavecseseznamem1"/>
        <w:numPr>
          <w:ilvl w:val="0"/>
          <w:numId w:val="7"/>
        </w:numPr>
        <w:spacing w:after="0"/>
      </w:pPr>
      <w:r>
        <w:t>Toto nařízení je závazné pro celé území města bez ohledu na charakter prostranství a vlastnictví k</w:t>
      </w:r>
      <w:r w:rsidR="00464630">
        <w:t> </w:t>
      </w:r>
      <w:r>
        <w:t>němu</w:t>
      </w:r>
      <w:r w:rsidR="00464630">
        <w:t>, ledaže by bylo v tomto nařízení výslovně uvedeno jinak</w:t>
      </w:r>
      <w:r>
        <w:t>.</w:t>
      </w:r>
    </w:p>
    <w:p w14:paraId="463FF0AC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E00E262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2F992A9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pojmy</w:t>
      </w:r>
    </w:p>
    <w:p w14:paraId="5B7C14B1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2E8CABAF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Prodejce </w:t>
      </w:r>
      <w:r>
        <w:t>je fyzická nebo právnická osoba, která uskutečňuje prodej nebo poskytuje služby na prodejním místě.</w:t>
      </w:r>
    </w:p>
    <w:p w14:paraId="65A325E6" w14:textId="77777777" w:rsidR="00544BBA" w:rsidRDefault="00544BBA">
      <w:pPr>
        <w:pStyle w:val="Odstavecseseznamem1"/>
        <w:ind w:left="360"/>
      </w:pPr>
    </w:p>
    <w:p w14:paraId="3EF1DF47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Trh </w:t>
      </w:r>
      <w:r>
        <w:t>je příležitostná akce, při které je prodáváno zboží, nebo jsou poskytovány služby, a to mimo provozovnu určenou k tomuto účelu kolaudačním rozhodnutím; trh se koná na tržištích.</w:t>
      </w:r>
    </w:p>
    <w:p w14:paraId="600F8C8B" w14:textId="77777777" w:rsidR="00544BBA" w:rsidRDefault="00544BBA">
      <w:pPr>
        <w:pStyle w:val="Odstavecseseznamem1"/>
        <w:ind w:left="360"/>
      </w:pPr>
    </w:p>
    <w:p w14:paraId="4F8FA3F6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>Tržiště</w:t>
      </w:r>
      <w:r>
        <w:t xml:space="preserve"> je konkrétně vymezený veřejně přístupný prostor umožňující prodej zboží a poskytování služeb na prodejních stáncích, pultech a na jiných obdobných prodejních zařízeních, tj. mimo provozovnu určenou k tomuto účelu kolaudačním rozhodnutím. </w:t>
      </w:r>
    </w:p>
    <w:p w14:paraId="5491EAAF" w14:textId="77777777" w:rsidR="00544BBA" w:rsidRDefault="00544BBA">
      <w:pPr>
        <w:pStyle w:val="Odstavecseseznamem1"/>
        <w:ind w:left="360"/>
      </w:pPr>
    </w:p>
    <w:p w14:paraId="7CE51F00" w14:textId="77777777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Prodejní místo </w:t>
      </w:r>
      <w:r>
        <w:t>je místo mimo provozovnu určenou k tomuto účelu kolaudačním rozhodnutím na tržišti, na kterém je realizován prodej zboží a poskytování služeb z jednotlivých prodejních zařízení (stánku, pultu, přívěsu, automobilu apod.).</w:t>
      </w:r>
    </w:p>
    <w:p w14:paraId="7CE3449F" w14:textId="77777777" w:rsidR="00544BBA" w:rsidRDefault="00544BBA">
      <w:pPr>
        <w:pStyle w:val="Odstavecseseznamem1"/>
        <w:spacing w:after="0"/>
        <w:ind w:left="360"/>
      </w:pPr>
    </w:p>
    <w:p w14:paraId="35CC9142" w14:textId="645E9348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 xml:space="preserve">Restaurační </w:t>
      </w:r>
      <w:r w:rsidR="00003DD3">
        <w:rPr>
          <w:b/>
        </w:rPr>
        <w:t xml:space="preserve">(venkovní) </w:t>
      </w:r>
      <w:r>
        <w:rPr>
          <w:b/>
        </w:rPr>
        <w:t xml:space="preserve">zahrádka </w:t>
      </w:r>
      <w:r>
        <w:t>je místo pro prodej mimo provozovnu určenou k tomuto účelu kolaudačním rozhodnutím, na kterém se prodává zboží a poskytují služby v rámci ohlašovací živnosti „Hostinská činnost“, které je k výkonu této činnosti vybaveno a funkčně souvisí s provozovnou určenou k tomuto účelu kolaudačním rozhodnutím. Restaurační zahrádka musí mít stejného provozovatele jako provozovna a může být vybavena chladicím, mrazícím nebo výčepním zařízením sloužícím pro provoz zahrádky.</w:t>
      </w:r>
    </w:p>
    <w:p w14:paraId="303D1DF1" w14:textId="2BC6DD3F" w:rsidR="00003DD3" w:rsidRPr="00003DD3" w:rsidRDefault="00003DD3" w:rsidP="00003DD3">
      <w:pPr>
        <w:pStyle w:val="Odstavecseseznamem1"/>
        <w:spacing w:after="0"/>
        <w:ind w:left="360"/>
      </w:pPr>
    </w:p>
    <w:p w14:paraId="6989BFC4" w14:textId="477DFA2D" w:rsidR="00003DD3" w:rsidRPr="00003DD3" w:rsidRDefault="00003DD3" w:rsidP="00003DD3">
      <w:pPr>
        <w:pStyle w:val="Odstavecseseznamem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</w:pPr>
      <w:r w:rsidRPr="00003DD3">
        <w:rPr>
          <w:b/>
        </w:rPr>
        <w:t xml:space="preserve">Předsunuté </w:t>
      </w:r>
      <w:r w:rsidRPr="00003DD3">
        <w:rPr>
          <w:rFonts w:eastAsia="Times New Roman"/>
          <w:b/>
          <w:bCs/>
          <w:kern w:val="0"/>
          <w:lang w:eastAsia="cs-CZ" w:bidi="ar-SA"/>
        </w:rPr>
        <w:t>prodejní místo</w:t>
      </w:r>
      <w:r w:rsidRPr="00003DD3">
        <w:rPr>
          <w:rFonts w:eastAsia="Times New Roman"/>
          <w:kern w:val="0"/>
          <w:lang w:eastAsia="cs-CZ" w:bidi="ar-SA"/>
        </w:rPr>
        <w:t xml:space="preserve"> je místo mimo provozovnu, na kterém je umíst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>ě</w:t>
      </w:r>
      <w:r w:rsidRPr="00003DD3">
        <w:rPr>
          <w:rFonts w:eastAsia="Times New Roman"/>
          <w:kern w:val="0"/>
          <w:lang w:eastAsia="cs-CZ" w:bidi="ar-SA"/>
        </w:rPr>
        <w:t>no na zpevn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>ě</w:t>
      </w:r>
      <w:r w:rsidRPr="00003DD3">
        <w:rPr>
          <w:rFonts w:eastAsia="Times New Roman"/>
          <w:kern w:val="0"/>
          <w:lang w:eastAsia="cs-CZ" w:bidi="ar-SA"/>
        </w:rPr>
        <w:t>ném povrchu prodejní za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003DD3">
        <w:rPr>
          <w:rFonts w:eastAsia="Times New Roman"/>
          <w:kern w:val="0"/>
          <w:lang w:eastAsia="cs-CZ" w:bidi="ar-SA"/>
        </w:rPr>
        <w:t xml:space="preserve">ízení, ze kterého se prodává zboží a poskytují služby </w:t>
      </w:r>
      <w:r w:rsidRPr="00003DD3">
        <w:rPr>
          <w:rFonts w:eastAsia="Times New Roman"/>
          <w:kern w:val="0"/>
          <w:lang w:eastAsia="cs-CZ" w:bidi="ar-SA"/>
        </w:rPr>
        <w:lastRenderedPageBreak/>
        <w:t>stejného sortimentu jako v provozovn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>ě</w:t>
      </w:r>
      <w:r w:rsidRPr="00003DD3">
        <w:rPr>
          <w:rFonts w:eastAsia="Times New Roman"/>
          <w:kern w:val="0"/>
          <w:lang w:eastAsia="cs-CZ" w:bidi="ar-SA"/>
        </w:rPr>
        <w:t>, se kterou funk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>č</w:t>
      </w:r>
      <w:r w:rsidRPr="00003DD3">
        <w:rPr>
          <w:rFonts w:eastAsia="Times New Roman"/>
          <w:kern w:val="0"/>
          <w:lang w:eastAsia="cs-CZ" w:bidi="ar-SA"/>
        </w:rPr>
        <w:t>n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 xml:space="preserve">ě </w:t>
      </w:r>
      <w:r w:rsidRPr="00003DD3">
        <w:rPr>
          <w:rFonts w:eastAsia="Times New Roman"/>
          <w:kern w:val="0"/>
          <w:lang w:eastAsia="cs-CZ" w:bidi="ar-SA"/>
        </w:rPr>
        <w:t>souvisí. P</w:t>
      </w:r>
      <w:r w:rsidRPr="00003DD3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003DD3">
        <w:rPr>
          <w:rFonts w:eastAsia="Times New Roman"/>
          <w:kern w:val="0"/>
          <w:lang w:eastAsia="cs-CZ" w:bidi="ar-SA"/>
        </w:rPr>
        <w:t>edsunuté prodejní místo musí mít s</w:t>
      </w:r>
      <w:r>
        <w:rPr>
          <w:rFonts w:eastAsia="Times New Roman"/>
          <w:kern w:val="0"/>
          <w:lang w:eastAsia="cs-CZ" w:bidi="ar-SA"/>
        </w:rPr>
        <w:t xml:space="preserve"> </w:t>
      </w:r>
      <w:r w:rsidRPr="00003DD3">
        <w:rPr>
          <w:rFonts w:eastAsia="Times New Roman"/>
          <w:kern w:val="0"/>
          <w:lang w:eastAsia="cs-CZ" w:bidi="ar-SA"/>
        </w:rPr>
        <w:t>provozovnou stejného provozovatele.</w:t>
      </w:r>
    </w:p>
    <w:p w14:paraId="014F1B5C" w14:textId="5317AD35" w:rsidR="00003DD3" w:rsidRPr="00003DD3" w:rsidRDefault="00003DD3" w:rsidP="005B717F">
      <w:pPr>
        <w:pStyle w:val="Odstavecseseznamem1"/>
        <w:widowControl/>
        <w:suppressAutoHyphens w:val="0"/>
        <w:autoSpaceDE w:val="0"/>
        <w:autoSpaceDN w:val="0"/>
        <w:adjustRightInd w:val="0"/>
        <w:spacing w:after="0"/>
        <w:ind w:left="360"/>
      </w:pPr>
    </w:p>
    <w:p w14:paraId="0127C8C6" w14:textId="0152F27C" w:rsidR="00003DD3" w:rsidRDefault="00003DD3" w:rsidP="00003DD3">
      <w:pPr>
        <w:pStyle w:val="Odstavecseseznamem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rPr>
          <w:rFonts w:eastAsia="Times New Roman"/>
          <w:kern w:val="0"/>
          <w:lang w:eastAsia="cs-CZ" w:bidi="ar-SA"/>
        </w:rPr>
      </w:pPr>
      <w:r w:rsidRPr="005B717F">
        <w:rPr>
          <w:b/>
        </w:rPr>
        <w:t>Pochůzkovým</w:t>
      </w:r>
      <w:r w:rsidR="005B717F" w:rsidRPr="005B717F">
        <w:rPr>
          <w:b/>
        </w:rPr>
        <w:t xml:space="preserve"> </w:t>
      </w:r>
      <w:r w:rsidRPr="005B717F">
        <w:rPr>
          <w:rFonts w:eastAsia="Times New Roman"/>
          <w:b/>
          <w:kern w:val="0"/>
          <w:lang w:eastAsia="cs-CZ" w:bidi="ar-SA"/>
        </w:rPr>
        <w:t>prodejem</w:t>
      </w:r>
      <w:r w:rsidRPr="005B717F">
        <w:rPr>
          <w:rFonts w:eastAsia="Times New Roman"/>
          <w:kern w:val="0"/>
          <w:lang w:eastAsia="cs-CZ" w:bidi="ar-SA"/>
        </w:rPr>
        <w:t xml:space="preserve"> je prodej mimo provozovnu na ve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5B717F">
        <w:rPr>
          <w:rFonts w:eastAsia="Times New Roman"/>
          <w:kern w:val="0"/>
          <w:lang w:eastAsia="cs-CZ" w:bidi="ar-SA"/>
        </w:rPr>
        <w:t>ejném prostranství s použitím p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5B717F">
        <w:rPr>
          <w:rFonts w:eastAsia="Times New Roman"/>
          <w:kern w:val="0"/>
          <w:lang w:eastAsia="cs-CZ" w:bidi="ar-SA"/>
        </w:rPr>
        <w:t>enosného</w:t>
      </w:r>
      <w:r w:rsidR="005B717F">
        <w:rPr>
          <w:rFonts w:eastAsia="Times New Roman"/>
          <w:kern w:val="0"/>
          <w:lang w:eastAsia="cs-CZ" w:bidi="ar-SA"/>
        </w:rPr>
        <w:t xml:space="preserve"> </w:t>
      </w:r>
      <w:r w:rsidRPr="005B717F">
        <w:rPr>
          <w:rFonts w:eastAsia="Times New Roman"/>
          <w:kern w:val="0"/>
          <w:lang w:eastAsia="cs-CZ" w:bidi="ar-SA"/>
        </w:rPr>
        <w:t>nebo neseného za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5B717F">
        <w:rPr>
          <w:rFonts w:eastAsia="Times New Roman"/>
          <w:kern w:val="0"/>
          <w:lang w:eastAsia="cs-CZ" w:bidi="ar-SA"/>
        </w:rPr>
        <w:t>ízení nebo p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5B717F">
        <w:rPr>
          <w:rFonts w:eastAsia="Times New Roman"/>
          <w:kern w:val="0"/>
          <w:lang w:eastAsia="cs-CZ" w:bidi="ar-SA"/>
        </w:rPr>
        <w:t>ímo z ruky.</w:t>
      </w:r>
    </w:p>
    <w:p w14:paraId="58965FD1" w14:textId="77777777" w:rsidR="005B717F" w:rsidRPr="005B717F" w:rsidRDefault="005B717F" w:rsidP="005B717F">
      <w:pPr>
        <w:pStyle w:val="Odstavecseseznamem1"/>
        <w:widowControl/>
        <w:suppressAutoHyphens w:val="0"/>
        <w:autoSpaceDE w:val="0"/>
        <w:autoSpaceDN w:val="0"/>
        <w:adjustRightInd w:val="0"/>
        <w:spacing w:after="0"/>
        <w:ind w:left="360"/>
        <w:rPr>
          <w:rFonts w:eastAsia="Times New Roman"/>
          <w:kern w:val="0"/>
          <w:lang w:eastAsia="cs-CZ" w:bidi="ar-SA"/>
        </w:rPr>
      </w:pPr>
    </w:p>
    <w:p w14:paraId="5135F45E" w14:textId="783478B6" w:rsidR="005B717F" w:rsidRPr="005B717F" w:rsidRDefault="005B717F" w:rsidP="005B717F">
      <w:pPr>
        <w:pStyle w:val="Odstavecseseznamem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</w:pPr>
      <w:r w:rsidRPr="005B717F">
        <w:rPr>
          <w:rFonts w:eastAsia="Times New Roman"/>
          <w:b/>
          <w:bCs/>
          <w:kern w:val="0"/>
          <w:lang w:eastAsia="cs-CZ" w:bidi="ar-SA"/>
        </w:rPr>
        <w:t>Podomním prodejem</w:t>
      </w:r>
      <w:r w:rsidRPr="005B717F">
        <w:rPr>
          <w:rFonts w:eastAsia="Times New Roman"/>
          <w:kern w:val="0"/>
          <w:lang w:eastAsia="cs-CZ" w:bidi="ar-SA"/>
        </w:rPr>
        <w:t xml:space="preserve"> je prodej mimo provozovnu, p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5B717F">
        <w:rPr>
          <w:rFonts w:eastAsia="Times New Roman"/>
          <w:kern w:val="0"/>
          <w:lang w:eastAsia="cs-CZ" w:bidi="ar-SA"/>
        </w:rPr>
        <w:t>i n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ě</w:t>
      </w:r>
      <w:r w:rsidRPr="005B717F">
        <w:rPr>
          <w:rFonts w:eastAsia="Times New Roman"/>
          <w:kern w:val="0"/>
          <w:lang w:eastAsia="cs-CZ" w:bidi="ar-SA"/>
        </w:rPr>
        <w:t>mž je potenciální kupující bez p</w:t>
      </w:r>
      <w:r w:rsidRPr="005B717F">
        <w:rPr>
          <w:rFonts w:ascii="ArialMT" w:eastAsia="Times New Roman" w:hAnsi="ArialMT" w:cs="ArialMT"/>
          <w:kern w:val="0"/>
          <w:lang w:eastAsia="cs-CZ" w:bidi="ar-SA"/>
        </w:rPr>
        <w:t>ř</w:t>
      </w:r>
      <w:r w:rsidRPr="005B717F">
        <w:rPr>
          <w:rFonts w:eastAsia="Times New Roman"/>
          <w:kern w:val="0"/>
          <w:lang w:eastAsia="cs-CZ" w:bidi="ar-SA"/>
        </w:rPr>
        <w:t>edchozí</w:t>
      </w:r>
      <w:r>
        <w:rPr>
          <w:rFonts w:eastAsia="Times New Roman"/>
          <w:kern w:val="0"/>
          <w:lang w:eastAsia="cs-CZ" w:bidi="ar-SA"/>
        </w:rPr>
        <w:t xml:space="preserve"> objednávky </w:t>
      </w:r>
      <w:r w:rsidRPr="005B717F">
        <w:rPr>
          <w:rFonts w:eastAsia="Times New Roman"/>
          <w:kern w:val="0"/>
          <w:lang w:eastAsia="cs-CZ" w:bidi="ar-SA"/>
        </w:rPr>
        <w:t>či pozvání navštěvován prodejcem v domácnosti</w:t>
      </w:r>
    </w:p>
    <w:p w14:paraId="54F008CB" w14:textId="77777777" w:rsidR="005B717F" w:rsidRPr="005B717F" w:rsidRDefault="005B717F" w:rsidP="005B717F">
      <w:pPr>
        <w:pStyle w:val="Odstavecseseznamem1"/>
        <w:spacing w:after="0"/>
        <w:ind w:left="360"/>
      </w:pPr>
    </w:p>
    <w:p w14:paraId="4233D31F" w14:textId="5CA78214" w:rsidR="00544BBA" w:rsidRDefault="00544BBA">
      <w:pPr>
        <w:pStyle w:val="Odstavecseseznamem1"/>
        <w:numPr>
          <w:ilvl w:val="0"/>
          <w:numId w:val="2"/>
        </w:numPr>
        <w:spacing w:after="0"/>
      </w:pPr>
      <w:r>
        <w:rPr>
          <w:b/>
        </w:rPr>
        <w:t>Výdejní box</w:t>
      </w:r>
      <w:r>
        <w:t xml:space="preserve"> je automatizovaný box se schránkami, jehož prostřednictvím je uskutečňován prodej</w:t>
      </w:r>
      <w:r w:rsidR="0053590C">
        <w:t xml:space="preserve"> včetně doručování zásilek</w:t>
      </w:r>
      <w:r>
        <w:t xml:space="preserve">. </w:t>
      </w:r>
    </w:p>
    <w:p w14:paraId="59371E75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3298524F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89A7871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Formy nabízení a prodeje zboží a nabízení a poskytování služby regulované tímto nařízením</w:t>
      </w:r>
    </w:p>
    <w:p w14:paraId="790B556C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42D91049" w14:textId="3D58581A" w:rsidR="00544BBA" w:rsidRDefault="00CC061D" w:rsidP="00CC061D">
      <w:pPr>
        <w:ind w:left="360" w:hanging="360"/>
        <w:jc w:val="both"/>
        <w:rPr>
          <w:b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544BBA">
        <w:rPr>
          <w:rFonts w:ascii="Arial" w:hAnsi="Arial" w:cs="Arial"/>
          <w:sz w:val="22"/>
          <w:szCs w:val="22"/>
        </w:rPr>
        <w:t xml:space="preserve">Toto nařízení reguluje nabídku a prodej zboží nebo služeb, které jsou provozovány tímto způsobem: </w:t>
      </w:r>
    </w:p>
    <w:p w14:paraId="2A6B30E7" w14:textId="77777777" w:rsidR="00544BBA" w:rsidRDefault="00544BBA">
      <w:pPr>
        <w:pStyle w:val="Odstavecseseznamem1"/>
        <w:numPr>
          <w:ilvl w:val="0"/>
          <w:numId w:val="6"/>
        </w:numPr>
        <w:spacing w:after="0"/>
      </w:pPr>
      <w:r>
        <w:t xml:space="preserve">trh </w:t>
      </w:r>
    </w:p>
    <w:p w14:paraId="6D3FD745" w14:textId="3CC79179" w:rsidR="00544BBA" w:rsidRDefault="00544BBA">
      <w:pPr>
        <w:pStyle w:val="Odstavecseseznamem1"/>
        <w:numPr>
          <w:ilvl w:val="0"/>
          <w:numId w:val="6"/>
        </w:numPr>
        <w:spacing w:after="0"/>
      </w:pPr>
      <w:r>
        <w:t xml:space="preserve">restaurační </w:t>
      </w:r>
      <w:r w:rsidR="00CC061D">
        <w:t>(venkovní)</w:t>
      </w:r>
      <w:r w:rsidR="003E4B1D">
        <w:t xml:space="preserve"> </w:t>
      </w:r>
      <w:r>
        <w:t xml:space="preserve">zahrádka </w:t>
      </w:r>
    </w:p>
    <w:p w14:paraId="45326B9A" w14:textId="77777777" w:rsidR="00544BBA" w:rsidRDefault="00544BBA">
      <w:pPr>
        <w:pStyle w:val="Odstavecseseznamem1"/>
        <w:numPr>
          <w:ilvl w:val="0"/>
          <w:numId w:val="6"/>
        </w:numPr>
        <w:spacing w:after="0"/>
      </w:pPr>
      <w:r>
        <w:t xml:space="preserve">výdejní box  </w:t>
      </w:r>
    </w:p>
    <w:p w14:paraId="055D6D02" w14:textId="77777777" w:rsidR="00CC061D" w:rsidRDefault="00CC061D" w:rsidP="00CC061D">
      <w:pPr>
        <w:pStyle w:val="Odstavecseseznamem1"/>
        <w:spacing w:after="0"/>
        <w:ind w:left="360"/>
      </w:pPr>
    </w:p>
    <w:p w14:paraId="2027A064" w14:textId="0F4693EF" w:rsidR="00CC061D" w:rsidRPr="00CC061D" w:rsidRDefault="00CC061D" w:rsidP="00CC061D">
      <w:pPr>
        <w:pStyle w:val="Odstavecseseznamem1"/>
        <w:ind w:left="0"/>
      </w:pPr>
      <w:r>
        <w:t xml:space="preserve">2.   </w:t>
      </w:r>
      <w:r w:rsidRPr="00CC061D">
        <w:t>T</w:t>
      </w:r>
      <w:r>
        <w:t>o</w:t>
      </w:r>
      <w:r w:rsidRPr="00CC061D">
        <w:t xml:space="preserve">to </w:t>
      </w:r>
      <w:r w:rsidR="0025300E">
        <w:t>nařízení se však</w:t>
      </w:r>
      <w:r w:rsidRPr="00CC061D">
        <w:t xml:space="preserve"> se nevztahuje:</w:t>
      </w:r>
    </w:p>
    <w:p w14:paraId="1676E5BB" w14:textId="74AAA0E7" w:rsidR="00CC061D" w:rsidRPr="00CC061D" w:rsidRDefault="00CC061D" w:rsidP="00763BE9">
      <w:pPr>
        <w:pStyle w:val="Odstavecseseznamem1"/>
        <w:ind w:left="360"/>
      </w:pPr>
      <w:r w:rsidRPr="00CC061D">
        <w:t>a</w:t>
      </w:r>
      <w:r>
        <w:t xml:space="preserve">) na </w:t>
      </w:r>
      <w:r w:rsidRPr="00CC061D">
        <w:t xml:space="preserve">tržní místa a tržiště umístěná mimo </w:t>
      </w:r>
      <w:r w:rsidR="00763BE9">
        <w:t xml:space="preserve">veřejná prostranství a </w:t>
      </w:r>
      <w:r w:rsidRPr="00CC061D">
        <w:t>pozemky města vyjma výdejních boxů;</w:t>
      </w:r>
    </w:p>
    <w:p w14:paraId="77A0AC88" w14:textId="146B3610" w:rsidR="00CC061D" w:rsidRPr="00CC061D" w:rsidRDefault="00CC061D" w:rsidP="00CC061D">
      <w:pPr>
        <w:pStyle w:val="Odstavecseseznamem1"/>
        <w:ind w:left="360"/>
      </w:pPr>
      <w:r>
        <w:t xml:space="preserve">b) </w:t>
      </w:r>
      <w:r w:rsidRPr="00CC061D">
        <w:t>na nabídku, prodej zboží a poskytování služeb mimo provozovnu při sportovních, společenských</w:t>
      </w:r>
      <w:r>
        <w:t xml:space="preserve"> </w:t>
      </w:r>
      <w:r w:rsidRPr="00CC061D">
        <w:t>a kulturních akcích realizovaných v místě, kde se akce koná a po dobu konání</w:t>
      </w:r>
      <w:r>
        <w:t xml:space="preserve"> </w:t>
      </w:r>
      <w:r w:rsidRPr="00CC061D">
        <w:t>této akce;</w:t>
      </w:r>
    </w:p>
    <w:p w14:paraId="6A07E21A" w14:textId="4EAAB2D8" w:rsidR="00CC061D" w:rsidRPr="00CC061D" w:rsidRDefault="00CC061D" w:rsidP="00CC061D">
      <w:pPr>
        <w:pStyle w:val="Odstavecseseznamem1"/>
        <w:ind w:left="360"/>
      </w:pPr>
      <w:r>
        <w:t xml:space="preserve">c) </w:t>
      </w:r>
      <w:r w:rsidRPr="00CC061D">
        <w:t>na předsunutá prodejní místa a prodejní předzahrádky;</w:t>
      </w:r>
    </w:p>
    <w:p w14:paraId="5EE659F8" w14:textId="19A54E66" w:rsidR="00CC061D" w:rsidRDefault="00CC061D" w:rsidP="00CC061D">
      <w:pPr>
        <w:pStyle w:val="Odstavecseseznamem1"/>
        <w:spacing w:after="0"/>
        <w:ind w:left="360"/>
      </w:pPr>
      <w:r>
        <w:t xml:space="preserve">d) </w:t>
      </w:r>
      <w:r w:rsidRPr="00CC061D">
        <w:t xml:space="preserve">na </w:t>
      </w:r>
      <w:r>
        <w:t>podomní a pochůzkový prodej a nabídku služeb</w:t>
      </w:r>
      <w:r w:rsidRPr="00CC061D">
        <w:t>.</w:t>
      </w:r>
    </w:p>
    <w:p w14:paraId="76227CDC" w14:textId="77777777" w:rsidR="00CC061D" w:rsidRDefault="00CC061D" w:rsidP="00CC061D">
      <w:pPr>
        <w:pStyle w:val="Odstavecseseznamem1"/>
        <w:spacing w:after="0"/>
        <w:ind w:left="0"/>
      </w:pPr>
    </w:p>
    <w:p w14:paraId="4C60AD4E" w14:textId="30949D59" w:rsidR="00CC061D" w:rsidRPr="00CC061D" w:rsidRDefault="009B5B08" w:rsidP="009B5B08">
      <w:pPr>
        <w:pStyle w:val="Odstavecseseznamem1"/>
        <w:ind w:left="360" w:hanging="360"/>
      </w:pPr>
      <w:r>
        <w:t xml:space="preserve">3. </w:t>
      </w:r>
      <w:r>
        <w:tab/>
      </w:r>
      <w:r w:rsidR="00CC061D" w:rsidRPr="00CC061D">
        <w:t>Prodejní zařízení umístěné na veřejném prostranství musí být po skončení prodeje odstraněno,</w:t>
      </w:r>
      <w:r w:rsidR="00CC061D">
        <w:t xml:space="preserve"> </w:t>
      </w:r>
      <w:r w:rsidR="00CC061D" w:rsidRPr="00CC061D">
        <w:t>není-li s městem smluvně povoleno jeho dlouhodobé umístění.</w:t>
      </w:r>
    </w:p>
    <w:p w14:paraId="05C16D92" w14:textId="1D08C73B" w:rsidR="00CC061D" w:rsidRDefault="009B5B08" w:rsidP="009B5B08">
      <w:pPr>
        <w:pStyle w:val="Odstavecseseznamem1"/>
        <w:ind w:left="360" w:hanging="360"/>
      </w:pPr>
      <w:r>
        <w:t>4.</w:t>
      </w:r>
      <w:r>
        <w:tab/>
      </w:r>
      <w:r w:rsidR="00CC061D">
        <w:t xml:space="preserve">Zákaz podomního a pochůzkového </w:t>
      </w:r>
      <w:proofErr w:type="gramStart"/>
      <w:r w:rsidR="00CC061D">
        <w:t>prodeje  a</w:t>
      </w:r>
      <w:proofErr w:type="gramEnd"/>
      <w:r w:rsidR="00CC061D">
        <w:t xml:space="preserve"> nabízení služeb se řídí zvláštním nařízením města č. 1/2017, </w:t>
      </w:r>
      <w:r>
        <w:t xml:space="preserve">o zákazu podomního a pochůzkového prodeje na území obce. </w:t>
      </w:r>
    </w:p>
    <w:p w14:paraId="3A56BE66" w14:textId="77777777" w:rsidR="00544BBA" w:rsidRDefault="00544BBA">
      <w:pPr>
        <w:pStyle w:val="Textkomente1"/>
        <w:rPr>
          <w:rFonts w:ascii="Arial" w:hAnsi="Arial" w:cs="Arial"/>
          <w:sz w:val="22"/>
          <w:szCs w:val="22"/>
        </w:rPr>
      </w:pPr>
    </w:p>
    <w:p w14:paraId="2CD32586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B5350AF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Trh </w:t>
      </w:r>
    </w:p>
    <w:p w14:paraId="064B1C99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0A94D6F4" w14:textId="30438E5F" w:rsidR="00544BBA" w:rsidRDefault="00544BBA" w:rsidP="003213CD">
      <w:pPr>
        <w:pStyle w:val="Odstavecseseznamem1"/>
        <w:numPr>
          <w:ilvl w:val="0"/>
          <w:numId w:val="3"/>
        </w:numPr>
        <w:spacing w:after="0"/>
        <w:jc w:val="left"/>
      </w:pPr>
      <w:r>
        <w:t>Trhy jsou realizovány na tržišt</w:t>
      </w:r>
      <w:r w:rsidR="003213CD">
        <w:t xml:space="preserve">i </w:t>
      </w:r>
      <w:r>
        <w:t>vymezen</w:t>
      </w:r>
      <w:r w:rsidR="003213CD">
        <w:t>ém</w:t>
      </w:r>
      <w:r>
        <w:t xml:space="preserve"> v Příloze č. 1.</w:t>
      </w:r>
      <w:r w:rsidR="003213CD">
        <w:t xml:space="preserve"> </w:t>
      </w:r>
      <w:r w:rsidR="003213CD" w:rsidRPr="003213CD">
        <w:t>Tr</w:t>
      </w:r>
      <w:r w:rsidR="003213CD">
        <w:t>hy na tomto tr</w:t>
      </w:r>
      <w:r w:rsidR="003213CD" w:rsidRPr="003213CD">
        <w:t>žišt</w:t>
      </w:r>
      <w:r w:rsidR="003213CD">
        <w:t>i</w:t>
      </w:r>
      <w:r w:rsidR="003213CD" w:rsidRPr="003213CD">
        <w:t xml:space="preserve"> mohou být provozován</w:t>
      </w:r>
      <w:r w:rsidR="003213CD">
        <w:t>y</w:t>
      </w:r>
      <w:r w:rsidR="003213CD" w:rsidRPr="003213CD">
        <w:t xml:space="preserve"> denn</w:t>
      </w:r>
      <w:r w:rsidR="003213CD">
        <w:t>ě</w:t>
      </w:r>
      <w:r w:rsidR="003213CD" w:rsidRPr="003213CD">
        <w:t>, prodejní doba je omezena od 6:00 do 20:00</w:t>
      </w:r>
      <w:r w:rsidR="003213CD">
        <w:t xml:space="preserve"> </w:t>
      </w:r>
      <w:r w:rsidR="003213CD" w:rsidRPr="003213CD">
        <w:t>hodin včetně úklidu.</w:t>
      </w:r>
    </w:p>
    <w:p w14:paraId="2CF98E31" w14:textId="515A7375" w:rsidR="003213CD" w:rsidRDefault="003213CD" w:rsidP="003213CD">
      <w:pPr>
        <w:pStyle w:val="Odstavecseseznamem1"/>
        <w:spacing w:after="0"/>
        <w:ind w:left="360"/>
        <w:jc w:val="left"/>
      </w:pPr>
    </w:p>
    <w:p w14:paraId="74F45A56" w14:textId="5AED1880" w:rsidR="003213CD" w:rsidRPr="00925DE0" w:rsidRDefault="003213CD" w:rsidP="00801440">
      <w:pPr>
        <w:pStyle w:val="Odstavecseseznamem1"/>
        <w:numPr>
          <w:ilvl w:val="0"/>
          <w:numId w:val="3"/>
        </w:numPr>
        <w:spacing w:after="0"/>
      </w:pPr>
      <w:r w:rsidRPr="00925DE0">
        <w:t xml:space="preserve">Na tržištích vymezených v Příloze č. 2 a 3 mohou být trhy provozovány </w:t>
      </w:r>
      <w:r w:rsidR="00801440" w:rsidRPr="00925DE0">
        <w:t>pouze v období Adventu (tímto se rozumí období čtyř neděl před 25. prosincem příslušného kalendářního roku) a na tržišti vymezeném v Příloze č. 2 pak mohou být trhy dále provozovány ještě v období Posvícení</w:t>
      </w:r>
      <w:r w:rsidR="00925DE0">
        <w:t xml:space="preserve"> (tímto se rozumí </w:t>
      </w:r>
      <w:r w:rsidR="00825A15">
        <w:t>pouť a atrakce včetně stánků</w:t>
      </w:r>
      <w:r w:rsidR="00925DE0">
        <w:t>)</w:t>
      </w:r>
      <w:r w:rsidR="00801440" w:rsidRPr="00925DE0">
        <w:t>; prodejní doba je v těchto případech omezena od 6:00 do 22:00 hodin včetně úklidu</w:t>
      </w:r>
    </w:p>
    <w:p w14:paraId="0B06F90E" w14:textId="77777777" w:rsidR="00544BBA" w:rsidRDefault="00544BBA">
      <w:pPr>
        <w:pStyle w:val="Odstavecseseznamem1"/>
        <w:ind w:left="360"/>
      </w:pPr>
    </w:p>
    <w:p w14:paraId="258D3A38" w14:textId="5389DCDC" w:rsidR="00544BBA" w:rsidRDefault="00544BBA">
      <w:pPr>
        <w:pStyle w:val="Odstavecseseznamem1"/>
        <w:numPr>
          <w:ilvl w:val="0"/>
          <w:numId w:val="3"/>
        </w:numPr>
        <w:spacing w:after="0"/>
        <w:jc w:val="left"/>
      </w:pPr>
      <w:r>
        <w:t>Povinnost</w:t>
      </w:r>
      <w:r w:rsidR="003C2FE8">
        <w:t>í</w:t>
      </w:r>
      <w:r>
        <w:t xml:space="preserve"> </w:t>
      </w:r>
      <w:r w:rsidR="00240CF0">
        <w:t>každého prodejce je</w:t>
      </w:r>
      <w:r>
        <w:t>:</w:t>
      </w:r>
    </w:p>
    <w:p w14:paraId="35FF4FA9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E9FCDA7" w14:textId="74A32DDF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 xml:space="preserve">před začátkem konání akce označit tržiště cedulí obsahující informace dle § 17 odst. 7 </w:t>
      </w:r>
      <w:r>
        <w:lastRenderedPageBreak/>
        <w:t>a 8 zákona č. 455/1991 Sb. živnostenský zákon pro označení provozovny</w:t>
      </w:r>
      <w:r>
        <w:rPr>
          <w:rStyle w:val="Znakapoznpodarou"/>
        </w:rPr>
        <w:footnoteReference w:id="2"/>
      </w:r>
      <w:r>
        <w:t xml:space="preserve">; </w:t>
      </w:r>
    </w:p>
    <w:p w14:paraId="73A14F8A" w14:textId="5773A5D3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 xml:space="preserve">po celou dobu </w:t>
      </w:r>
      <w:r w:rsidR="00240CF0">
        <w:t>dbát</w:t>
      </w:r>
      <w:r>
        <w:t xml:space="preserve"> na dodržování tržního řádu;</w:t>
      </w:r>
    </w:p>
    <w:p w14:paraId="4DC4C00B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zajistit, aby byly prodej zboží a poskytování služeb zajišťovány pouze na prodejních zařízeních, která jsou vybavena v souladu s předpisy tak, aby odpovídala charakteru prodávaného zboží či poskytované služby;</w:t>
      </w:r>
    </w:p>
    <w:p w14:paraId="100835A6" w14:textId="0AAD67EC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zajistit, aby rozmístění jednotlivých prodejních míst na tržišti bylo tak, aby byl mezi nimi vytvořen dostatečný prostor pro pohyb zákazníků a zásobování a zajištěna požární ochrana v souladu se zvláštními předpisy;</w:t>
      </w:r>
    </w:p>
    <w:p w14:paraId="3CB168C5" w14:textId="0DFEC894" w:rsidR="00544BBA" w:rsidRDefault="00544BBA" w:rsidP="00FC1F60">
      <w:pPr>
        <w:pStyle w:val="Odstavecseseznamem1"/>
        <w:numPr>
          <w:ilvl w:val="0"/>
          <w:numId w:val="9"/>
        </w:numPr>
        <w:spacing w:after="0"/>
      </w:pPr>
      <w:r>
        <w:t>zajistit</w:t>
      </w:r>
      <w:r w:rsidR="00FC1F60">
        <w:t xml:space="preserve"> likvidaci odpadu tak, aby vzniklý odpad byl likvidován s ohledem na</w:t>
      </w:r>
      <w:r>
        <w:t xml:space="preserve"> jednotlivé druhy a kategorie odpadů </w:t>
      </w:r>
      <w:r w:rsidR="00FC1F60">
        <w:t>způsobem dle platných právních předpisů</w:t>
      </w:r>
      <w:r>
        <w:t>;</w:t>
      </w:r>
    </w:p>
    <w:p w14:paraId="7545E02D" w14:textId="77777777" w:rsidR="00544BBA" w:rsidRDefault="00544BBA">
      <w:pPr>
        <w:pStyle w:val="Odstavecseseznamem1"/>
        <w:numPr>
          <w:ilvl w:val="0"/>
          <w:numId w:val="9"/>
        </w:numPr>
        <w:spacing w:after="0"/>
      </w:pPr>
      <w:r>
        <w:t>po skončení akce zajistit provedení řádného úklidu prostor tržiště.</w:t>
      </w:r>
    </w:p>
    <w:p w14:paraId="14B61F9A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29E71729" w14:textId="77777777" w:rsidR="00544BBA" w:rsidRDefault="00544BBA">
      <w:pPr>
        <w:pStyle w:val="Odstavecseseznamem1"/>
        <w:numPr>
          <w:ilvl w:val="0"/>
          <w:numId w:val="3"/>
        </w:numPr>
        <w:spacing w:after="0"/>
        <w:jc w:val="left"/>
      </w:pPr>
      <w:r>
        <w:t>Pravidla pro prodej zboží a poskytování služby na trhu</w:t>
      </w:r>
    </w:p>
    <w:p w14:paraId="21704CEC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6C43C915" w14:textId="582724BE" w:rsidR="00544BBA" w:rsidRDefault="00544BB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Prodejci na tržištích jsou povinni dodržovat relevantní ustanovení právních předpisů, obecně závazných vyhlášek města </w:t>
      </w:r>
      <w:r w:rsidR="00FC1F60">
        <w:rPr>
          <w:rFonts w:ascii="Arial" w:hAnsi="Arial" w:cs="Arial"/>
          <w:sz w:val="22"/>
          <w:szCs w:val="22"/>
        </w:rPr>
        <w:t>Hostomice</w:t>
      </w:r>
      <w:r>
        <w:rPr>
          <w:rFonts w:ascii="Arial" w:hAnsi="Arial" w:cs="Arial"/>
          <w:sz w:val="22"/>
          <w:szCs w:val="22"/>
        </w:rPr>
        <w:t xml:space="preserve"> a nařízení města </w:t>
      </w:r>
      <w:r w:rsidR="00FC1F60">
        <w:rPr>
          <w:rFonts w:ascii="Arial" w:hAnsi="Arial" w:cs="Arial"/>
          <w:sz w:val="22"/>
          <w:szCs w:val="22"/>
        </w:rPr>
        <w:t>Hostomice</w:t>
      </w:r>
      <w:r>
        <w:rPr>
          <w:rFonts w:ascii="Arial" w:hAnsi="Arial" w:cs="Arial"/>
          <w:sz w:val="22"/>
          <w:szCs w:val="22"/>
        </w:rPr>
        <w:t xml:space="preserve"> tak, aby vyhověli zejména hygienickým a zdravotním požadavkům stanoveným pro prodej konkrétního zboží nebo poskytování služby. Dále jsou prodejci povinni:</w:t>
      </w:r>
    </w:p>
    <w:p w14:paraId="7F86122D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693E18E6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dodržovat zásady osobní čistoty;</w:t>
      </w:r>
    </w:p>
    <w:p w14:paraId="0E4E1AB5" w14:textId="111BFC14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udržovat na prodejním místě pořádek, čistotu, průběžně odstraňovat odpad i obaly ze zboží, zajistit vytřídění odpadu a jeho uložení do sběrných nádob označených k tomuto účelu a po ukončení prodeje nebo poskytování služeb prodejní místo uklidit;</w:t>
      </w:r>
    </w:p>
    <w:p w14:paraId="65633B7D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zboží umístit pouze na prodejních zařízeních a zajistit ochranu nabízeného zboží před působením deště, slunce a prachu;</w:t>
      </w:r>
    </w:p>
    <w:p w14:paraId="2AEE0AEB" w14:textId="450F2B9A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 xml:space="preserve">odpadní vody likvidovat jen na místech a způsobem </w:t>
      </w:r>
      <w:r w:rsidR="00FC1F60">
        <w:t xml:space="preserve">k tomu </w:t>
      </w:r>
      <w:r>
        <w:t>určeným;</w:t>
      </w:r>
    </w:p>
    <w:p w14:paraId="0925B16A" w14:textId="77777777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zajistit, aby komunikace pro zásobování tržiště byly trvale průjezdné a průchozí;</w:t>
      </w:r>
    </w:p>
    <w:p w14:paraId="0613F366" w14:textId="72089579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>osobní automobily parkovat pouze na místech k tomu určených v souladu s místní úpravou provozu na pozemních komunikacích;</w:t>
      </w:r>
    </w:p>
    <w:p w14:paraId="466D32E5" w14:textId="2159E7BD" w:rsidR="00544BBA" w:rsidRDefault="00544BBA">
      <w:pPr>
        <w:pStyle w:val="Odstavecseseznamem1"/>
        <w:numPr>
          <w:ilvl w:val="0"/>
          <w:numId w:val="10"/>
        </w:numPr>
        <w:spacing w:after="0"/>
      </w:pPr>
      <w:r>
        <w:t xml:space="preserve">na požádání předložit </w:t>
      </w:r>
      <w:r w:rsidR="00FC1F60">
        <w:t xml:space="preserve">zástupci města </w:t>
      </w:r>
      <w:r>
        <w:t>potvrzení o zaplacení místního poplatku a nájemní či jinou smlouvu uzavřenou s </w:t>
      </w:r>
      <w:r w:rsidR="00FC1F60">
        <w:t>městem</w:t>
      </w:r>
      <w:r>
        <w:t xml:space="preserve"> opravňující jej k užívání prodejního místa.</w:t>
      </w:r>
    </w:p>
    <w:p w14:paraId="664666C9" w14:textId="77777777" w:rsidR="00544BBA" w:rsidRDefault="00544BBA">
      <w:pPr>
        <w:pStyle w:val="Odstavecseseznamem1"/>
        <w:ind w:left="1440"/>
        <w:rPr>
          <w:b/>
        </w:rPr>
      </w:pPr>
      <w:r>
        <w:t xml:space="preserve"> </w:t>
      </w:r>
    </w:p>
    <w:p w14:paraId="35E226EE" w14:textId="77777777" w:rsidR="00544BBA" w:rsidRDefault="00544BBA">
      <w:pPr>
        <w:pStyle w:val="Odstavecseseznamem1"/>
        <w:jc w:val="center"/>
        <w:rPr>
          <w:b/>
        </w:rPr>
      </w:pPr>
      <w:r>
        <w:rPr>
          <w:b/>
        </w:rPr>
        <w:t>Čl. 5</w:t>
      </w:r>
    </w:p>
    <w:p w14:paraId="3FFC403E" w14:textId="7E2ABD3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Restaurační </w:t>
      </w:r>
      <w:r w:rsidR="00FC1F60">
        <w:rPr>
          <w:rFonts w:ascii="Arial" w:hAnsi="Arial" w:cs="Arial"/>
          <w:b/>
          <w:sz w:val="22"/>
          <w:szCs w:val="22"/>
        </w:rPr>
        <w:t xml:space="preserve">(venkovní) </w:t>
      </w:r>
      <w:r>
        <w:rPr>
          <w:rFonts w:ascii="Arial" w:hAnsi="Arial" w:cs="Arial"/>
          <w:b/>
          <w:sz w:val="22"/>
          <w:szCs w:val="22"/>
        </w:rPr>
        <w:t>zahrádka</w:t>
      </w:r>
    </w:p>
    <w:p w14:paraId="4B3964D0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73DD54AE" w14:textId="7C815455" w:rsidR="00544BBA" w:rsidRDefault="00544BBA" w:rsidP="0020097F">
      <w:pPr>
        <w:pStyle w:val="Odstavecseseznamem1"/>
        <w:numPr>
          <w:ilvl w:val="0"/>
          <w:numId w:val="8"/>
        </w:numPr>
        <w:spacing w:after="0"/>
      </w:pPr>
      <w:r>
        <w:t>Restaurační zahrádk</w:t>
      </w:r>
      <w:r w:rsidR="003213CD">
        <w:t xml:space="preserve">y uvedené </w:t>
      </w:r>
      <w:r>
        <w:t xml:space="preserve">v Příloze č. </w:t>
      </w:r>
      <w:r w:rsidR="003213CD">
        <w:t>1</w:t>
      </w:r>
      <w:r>
        <w:t xml:space="preserve"> tohoto nařízení m</w:t>
      </w:r>
      <w:r w:rsidR="003213CD">
        <w:t>ohou</w:t>
      </w:r>
      <w:r>
        <w:t xml:space="preserve"> být provozován</w:t>
      </w:r>
      <w:r w:rsidR="0053590C">
        <w:t>y</w:t>
      </w:r>
      <w:r>
        <w:t xml:space="preserve"> od 8:00 do 22:00 hod. </w:t>
      </w:r>
    </w:p>
    <w:p w14:paraId="0D067E3E" w14:textId="77777777" w:rsidR="00544BBA" w:rsidRDefault="00544BBA" w:rsidP="0020097F"/>
    <w:p w14:paraId="1C14266F" w14:textId="3C45EE72" w:rsidR="00544BBA" w:rsidRDefault="0020097F" w:rsidP="0020097F">
      <w:pPr>
        <w:pStyle w:val="Odstavecseseznamem1"/>
        <w:numPr>
          <w:ilvl w:val="0"/>
          <w:numId w:val="8"/>
        </w:numPr>
        <w:spacing w:after="0"/>
      </w:pPr>
      <w:r>
        <w:t>P</w:t>
      </w:r>
      <w:r w:rsidR="00544BBA">
        <w:t xml:space="preserve">rovozovatel restaurační zahrádky zajistí, že provozem jeho restaurační zahrádky bude respektován zákaz rušení nočního klidu, který je vymezen zákonem č.251/2016 Sb., o některých přestupcích, ve znění pozdějších předpisů, a to jako doba od 22. hodiny večerní do 6. hodiny ranní.  </w:t>
      </w:r>
    </w:p>
    <w:p w14:paraId="181D00F2" w14:textId="77777777" w:rsidR="00544BBA" w:rsidRDefault="00544BBA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6</w:t>
      </w:r>
    </w:p>
    <w:p w14:paraId="2BBA009C" w14:textId="77777777" w:rsidR="00544BBA" w:rsidRDefault="00544BBA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Výdejní box</w:t>
      </w:r>
    </w:p>
    <w:p w14:paraId="19B61918" w14:textId="77777777" w:rsidR="00544BBA" w:rsidRDefault="00544BBA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72BB97F" w14:textId="4458BE3E" w:rsidR="00544BBA" w:rsidRDefault="0053590C" w:rsidP="0053590C">
      <w:pPr>
        <w:pStyle w:val="Odstavecseseznamem1"/>
        <w:spacing w:after="0" w:line="276" w:lineRule="auto"/>
        <w:ind w:left="0"/>
      </w:pPr>
      <w:r w:rsidRPr="0053590C">
        <w:t xml:space="preserve">Výdejní boxy mohou být na území města </w:t>
      </w:r>
      <w:r>
        <w:t>Hostomice</w:t>
      </w:r>
      <w:r w:rsidRPr="0053590C">
        <w:t xml:space="preserve"> zřizovány a provozovány uvnitř</w:t>
      </w:r>
      <w:r>
        <w:t xml:space="preserve"> </w:t>
      </w:r>
      <w:r w:rsidRPr="0053590C">
        <w:t xml:space="preserve">staveb </w:t>
      </w:r>
      <w:r>
        <w:t xml:space="preserve">(mimo prostory veřejného prostranství, kterým se rozumí především ulice, chodníky, náměstí) </w:t>
      </w:r>
      <w:r w:rsidRPr="0053590C">
        <w:t>a dále pouze na místech výslovně u</w:t>
      </w:r>
      <w:r>
        <w:t xml:space="preserve">rčených pro výdejní boxy </w:t>
      </w:r>
      <w:r w:rsidRPr="0053590C">
        <w:t xml:space="preserve">v příloze č. </w:t>
      </w:r>
      <w:r>
        <w:t>1</w:t>
      </w:r>
      <w:r w:rsidRPr="0053590C">
        <w:t xml:space="preserve"> tohoto nařízení. </w:t>
      </w:r>
    </w:p>
    <w:p w14:paraId="3D5071F2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52302DE6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8F08B96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F27B404" w14:textId="77777777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</w:p>
    <w:p w14:paraId="0131AB9D" w14:textId="77777777" w:rsidR="00544BBA" w:rsidRDefault="00544BBA">
      <w:pPr>
        <w:pStyle w:val="Odstavecseseznamem1"/>
        <w:numPr>
          <w:ilvl w:val="0"/>
          <w:numId w:val="4"/>
        </w:numPr>
        <w:spacing w:after="0"/>
        <w:jc w:val="left"/>
      </w:pPr>
      <w:r>
        <w:t>Porušení tohoto nařízení se postihuje podle zvláštních právních předpisů.</w:t>
      </w:r>
    </w:p>
    <w:p w14:paraId="69915550" w14:textId="77777777" w:rsidR="00544BBA" w:rsidRDefault="00544BBA">
      <w:pPr>
        <w:pStyle w:val="Odstavecseseznamem1"/>
        <w:ind w:left="501"/>
      </w:pPr>
    </w:p>
    <w:p w14:paraId="0782CF82" w14:textId="16F19984" w:rsidR="00544BBA" w:rsidRDefault="00544BBA" w:rsidP="0053590C">
      <w:pPr>
        <w:pStyle w:val="Odstavecseseznamem1"/>
        <w:numPr>
          <w:ilvl w:val="0"/>
          <w:numId w:val="4"/>
        </w:numPr>
        <w:spacing w:after="0"/>
      </w:pPr>
      <w:r>
        <w:t>Zařazení tržiště do Přílohy č. 1</w:t>
      </w:r>
      <w:r w:rsidR="0053590C">
        <w:t>, 2 a 3</w:t>
      </w:r>
      <w:r>
        <w:t xml:space="preserve"> tohoto nařízení nenahrazuje jiná povolení či rozhodnutí vydávaná dle zvláštních právních předpisů.</w:t>
      </w:r>
    </w:p>
    <w:p w14:paraId="405F6D51" w14:textId="77777777" w:rsidR="00544BBA" w:rsidRDefault="00544BBA">
      <w:pPr>
        <w:rPr>
          <w:rFonts w:ascii="Arial" w:hAnsi="Arial" w:cs="Arial"/>
          <w:sz w:val="22"/>
          <w:szCs w:val="22"/>
        </w:rPr>
      </w:pPr>
    </w:p>
    <w:p w14:paraId="64CFECCD" w14:textId="77777777" w:rsidR="0020097F" w:rsidRPr="0020097F" w:rsidRDefault="0020097F" w:rsidP="0020097F">
      <w:pPr>
        <w:pStyle w:val="Odstavecseseznamem1"/>
        <w:spacing w:after="0"/>
        <w:ind w:left="141"/>
      </w:pPr>
    </w:p>
    <w:p w14:paraId="12EF538C" w14:textId="523C4D56" w:rsidR="00544BBA" w:rsidRDefault="00544B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3590C">
        <w:rPr>
          <w:rFonts w:ascii="Arial" w:hAnsi="Arial" w:cs="Arial"/>
          <w:b/>
          <w:sz w:val="22"/>
          <w:szCs w:val="22"/>
        </w:rPr>
        <w:t>8</w:t>
      </w:r>
    </w:p>
    <w:p w14:paraId="0264E4ED" w14:textId="77777777" w:rsidR="00544BBA" w:rsidRDefault="00544B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AEFB03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1AE094A9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účinnosti 15 dnem po dni vyhlášení ve Sbírce právních předpisů územně samosprávných celků. </w:t>
      </w:r>
    </w:p>
    <w:p w14:paraId="34B3D776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725D88F4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p w14:paraId="095BF699" w14:textId="77777777" w:rsidR="00544BBA" w:rsidRDefault="00544B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971"/>
        <w:gridCol w:w="3829"/>
      </w:tblGrid>
      <w:tr w:rsidR="00062D77" w14:paraId="142D939D" w14:textId="77777777">
        <w:trPr>
          <w:trHeight w:hRule="exact" w:val="546"/>
        </w:trPr>
        <w:tc>
          <w:tcPr>
            <w:tcW w:w="2834" w:type="dxa"/>
            <w:vAlign w:val="bottom"/>
          </w:tcPr>
          <w:p w14:paraId="28100C19" w14:textId="3EFD8161" w:rsidR="00544BBA" w:rsidRDefault="00544BBA">
            <w:pPr>
              <w:pStyle w:val="PodpisovePole"/>
              <w:jc w:val="left"/>
            </w:pPr>
            <w:r>
              <w:t xml:space="preserve">      </w:t>
            </w:r>
          </w:p>
        </w:tc>
        <w:tc>
          <w:tcPr>
            <w:tcW w:w="2971" w:type="dxa"/>
            <w:vAlign w:val="bottom"/>
          </w:tcPr>
          <w:p w14:paraId="0AACDD9F" w14:textId="72C08083" w:rsidR="00544BBA" w:rsidRDefault="00544BBA">
            <w:pPr>
              <w:pStyle w:val="PodpisovePole"/>
            </w:pPr>
          </w:p>
        </w:tc>
        <w:tc>
          <w:tcPr>
            <w:tcW w:w="3829" w:type="dxa"/>
          </w:tcPr>
          <w:p w14:paraId="24BEDBA1" w14:textId="77777777" w:rsidR="00544BBA" w:rsidRDefault="00544BBA">
            <w:pPr>
              <w:pStyle w:val="PodpisovePole"/>
            </w:pPr>
          </w:p>
          <w:p w14:paraId="17B4F527" w14:textId="77777777" w:rsidR="00544BBA" w:rsidRDefault="00544BBA">
            <w:pPr>
              <w:pStyle w:val="PodpisovePole"/>
              <w:jc w:val="left"/>
            </w:pPr>
          </w:p>
        </w:tc>
      </w:tr>
      <w:tr w:rsidR="00062D77" w14:paraId="491CA40F" w14:textId="77777777">
        <w:trPr>
          <w:trHeight w:hRule="exact" w:val="818"/>
        </w:trPr>
        <w:tc>
          <w:tcPr>
            <w:tcW w:w="2834" w:type="dxa"/>
            <w:vAlign w:val="bottom"/>
          </w:tcPr>
          <w:p w14:paraId="3384BB96" w14:textId="28EAB90A" w:rsidR="00544BBA" w:rsidRDefault="00544BBA">
            <w:pPr>
              <w:pStyle w:val="PodpisovePole"/>
            </w:pPr>
            <w:r>
              <w:t xml:space="preserve">Ing. </w:t>
            </w:r>
            <w:r w:rsidR="00D1473C">
              <w:t>Jan Bomba, Ph.D.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2971" w:type="dxa"/>
            <w:vAlign w:val="bottom"/>
          </w:tcPr>
          <w:p w14:paraId="061D4343" w14:textId="5E0F1787" w:rsidR="00544BBA" w:rsidRDefault="00544BBA">
            <w:pPr>
              <w:pStyle w:val="PodpisovePole"/>
              <w:rPr>
                <w:color w:val="000000"/>
              </w:rPr>
            </w:pPr>
          </w:p>
        </w:tc>
        <w:tc>
          <w:tcPr>
            <w:tcW w:w="3829" w:type="dxa"/>
          </w:tcPr>
          <w:p w14:paraId="2BAA05AE" w14:textId="77777777" w:rsidR="00544BBA" w:rsidRDefault="00544BBA">
            <w:pPr>
              <w:pStyle w:val="PodpisovePole"/>
              <w:jc w:val="left"/>
              <w:rPr>
                <w:color w:val="000000"/>
              </w:rPr>
            </w:pPr>
          </w:p>
          <w:p w14:paraId="34A8C1B9" w14:textId="79E0585A" w:rsidR="00544BBA" w:rsidRDefault="00D1473C">
            <w:pPr>
              <w:pStyle w:val="PodpisovePole"/>
              <w:jc w:val="left"/>
            </w:pPr>
            <w:r>
              <w:rPr>
                <w:color w:val="000000"/>
              </w:rPr>
              <w:t xml:space="preserve">                Bc. Jan Synek </w:t>
            </w:r>
            <w:r w:rsidR="00544BBA">
              <w:t>v. r.</w:t>
            </w:r>
            <w:r w:rsidR="00544BBA">
              <w:br/>
              <w:t xml:space="preserve">                   místostarosta</w:t>
            </w:r>
          </w:p>
        </w:tc>
      </w:tr>
    </w:tbl>
    <w:p w14:paraId="6ACEA2B9" w14:textId="77777777" w:rsidR="00544BBA" w:rsidRDefault="00544BBA" w:rsidP="0053590C">
      <w:pPr>
        <w:rPr>
          <w:rFonts w:ascii="Arial" w:hAnsi="Arial" w:cs="Arial"/>
          <w:sz w:val="22"/>
          <w:szCs w:val="22"/>
        </w:rPr>
      </w:pPr>
    </w:p>
    <w:sectPr w:rsidR="00544BBA" w:rsidSect="00535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A43B" w14:textId="77777777" w:rsidR="004B3F07" w:rsidRDefault="004B3F07">
      <w:r>
        <w:separator/>
      </w:r>
    </w:p>
  </w:endnote>
  <w:endnote w:type="continuationSeparator" w:id="0">
    <w:p w14:paraId="0446A06C" w14:textId="77777777" w:rsidR="004B3F07" w:rsidRDefault="004B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1275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98EC" w14:textId="77777777" w:rsidR="00544BBA" w:rsidRDefault="00544B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3BC8" w14:textId="77777777" w:rsidR="00544BBA" w:rsidRDefault="00544B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A6B" w14:textId="77777777" w:rsidR="00544BBA" w:rsidRDefault="00544B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B309" w14:textId="77777777" w:rsidR="004B3F07" w:rsidRDefault="004B3F07">
      <w:r>
        <w:separator/>
      </w:r>
    </w:p>
  </w:footnote>
  <w:footnote w:type="continuationSeparator" w:id="0">
    <w:p w14:paraId="030A51F8" w14:textId="77777777" w:rsidR="004B3F07" w:rsidRDefault="004B3F07">
      <w:r>
        <w:continuationSeparator/>
      </w:r>
    </w:p>
  </w:footnote>
  <w:footnote w:id="1">
    <w:p w14:paraId="6AC084D4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ascii="Arial" w:eastAsia="Times New Roman" w:hAnsi="Arial" w:cs="Arial"/>
          <w:noProof/>
          <w:kern w:val="0"/>
          <w:lang w:eastAsia="cs-CZ" w:bidi="ar-SA"/>
        </w:rPr>
      </w:pPr>
      <w:r w:rsidRPr="0020097F">
        <w:rPr>
          <w:rStyle w:val="Znakapoznpodarou"/>
          <w:rFonts w:eastAsia="Times New Roman" w:cs="Arial"/>
          <w:noProof/>
          <w:kern w:val="0"/>
          <w:lang w:eastAsia="cs-CZ" w:bidi="ar-SA"/>
        </w:rPr>
        <w:footnoteRef/>
      </w:r>
      <w:r w:rsidRPr="0020097F">
        <w:br w:type="page"/>
      </w:r>
      <w:r w:rsidRPr="0020097F">
        <w:rPr>
          <w:rStyle w:val="Znakapoznpodarou"/>
          <w:rFonts w:eastAsia="Times New Roman"/>
          <w:noProof/>
          <w:kern w:val="0"/>
          <w:lang w:eastAsia="cs-CZ" w:bidi="ar-SA"/>
        </w:rPr>
        <w:tab/>
      </w: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 xml:space="preserve"> zákon č. 283/2021 Sb., stavební zákon, ve znění pozdějších předpisů</w:t>
      </w:r>
    </w:p>
  </w:footnote>
  <w:footnote w:id="2">
    <w:p w14:paraId="0CFED8DB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eastAsia="Times New Roman" w:cs="Arial"/>
          <w:noProof/>
          <w:kern w:val="0"/>
          <w:lang w:eastAsia="cs-CZ" w:bidi="ar-SA"/>
        </w:rPr>
      </w:pPr>
      <w:r w:rsidRPr="0020097F">
        <w:rPr>
          <w:rStyle w:val="Znakapoznpodarou"/>
          <w:rFonts w:eastAsia="Times New Roman" w:cs="Arial"/>
          <w:noProof/>
          <w:kern w:val="0"/>
          <w:lang w:eastAsia="cs-CZ" w:bidi="ar-SA"/>
        </w:rPr>
        <w:footnoteRef/>
      </w:r>
      <w:r w:rsidRPr="0020097F">
        <w:br w:type="page"/>
      </w:r>
      <w:r w:rsidRPr="0020097F">
        <w:rPr>
          <w:rStyle w:val="Znakapoznpodarou"/>
          <w:rFonts w:eastAsia="Times New Roman" w:cs="Arial"/>
          <w:noProof/>
          <w:kern w:val="0"/>
          <w:lang w:eastAsia="cs-CZ" w:bidi="ar-SA"/>
        </w:rPr>
        <w:tab/>
      </w: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 xml:space="preserve"> odst. 7) zákona: „Provozovna musí být trvale a zvenčí viditelně označena obchodní firmou nebo názvem nebo jménem a příjmením podnikatele a jeho identifikačním číslem osoby. Mobilní provozovna a automat musí být dále označeny údajem o sídle nebo adrese, na které je umístěn odštěpný závod zahraniční osoby“.</w:t>
      </w:r>
      <w:r w:rsidRPr="0020097F">
        <w:br w:type="page"/>
      </w: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>odst. 8) zákona: „Provozovna určená pro prodej zboží nebo poskytování služeb spotřebitelům musí být trvale a zvenčí viditelně označena také</w:t>
      </w:r>
    </w:p>
    <w:p w14:paraId="6C7172D3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</w:pP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 xml:space="preserve"> a) jménem a příjmením osoby odpovědné za činnost provozovny, s výjimkou automatů,</w:t>
      </w:r>
    </w:p>
    <w:p w14:paraId="574EE710" w14:textId="77777777" w:rsidR="00544BBA" w:rsidRPr="0020097F" w:rsidRDefault="00544BBA" w:rsidP="0020097F">
      <w:pPr>
        <w:pStyle w:val="Textpoznpodarou"/>
        <w:widowControl/>
        <w:suppressLineNumbers w:val="0"/>
        <w:suppressAutoHyphens w:val="0"/>
        <w:ind w:left="0" w:firstLine="0"/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</w:pP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 xml:space="preserve"> b) prodejní nebo provozní dobou určenou pro styk se spotřebiteli, nejedná-li se o mobilní provozovnu nebo automat,</w:t>
      </w:r>
    </w:p>
    <w:p w14:paraId="0903258F" w14:textId="77777777" w:rsidR="00544BBA" w:rsidRDefault="00544BBA" w:rsidP="0020097F">
      <w:pPr>
        <w:pStyle w:val="Textpoznpodarou"/>
        <w:widowControl/>
        <w:suppressLineNumbers w:val="0"/>
        <w:suppressAutoHyphens w:val="0"/>
        <w:ind w:left="0" w:firstLine="0"/>
      </w:pPr>
      <w:r w:rsidRPr="0020097F">
        <w:rPr>
          <w:rStyle w:val="Znakapoznpodarou"/>
          <w:rFonts w:ascii="Arial" w:eastAsia="Times New Roman" w:hAnsi="Arial" w:cs="Arial"/>
          <w:noProof/>
          <w:kern w:val="0"/>
          <w:sz w:val="24"/>
          <w:szCs w:val="24"/>
          <w:lang w:eastAsia="cs-CZ" w:bidi="ar-SA"/>
        </w:rPr>
        <w:tab/>
        <w:t xml:space="preserve"> c) kategorií a třídou u ubytovacího zařízení poskytujícího přechodné ubytování.“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4222" w14:textId="77777777" w:rsidR="00544BBA" w:rsidRDefault="00544B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12FF" w14:textId="77777777" w:rsidR="00544BBA" w:rsidRDefault="00544B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D732" w14:textId="77777777" w:rsidR="00544BBA" w:rsidRDefault="00544B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1" w:hanging="180"/>
      </w:pPr>
    </w:lvl>
  </w:abstractNum>
  <w:abstractNum w:abstractNumId="4" w15:restartNumberingAfterBreak="0">
    <w:nsid w:val="00000005"/>
    <w:multiLevelType w:val="multilevel"/>
    <w:tmpl w:val="00000005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51057794">
    <w:abstractNumId w:val="0"/>
  </w:num>
  <w:num w:numId="2" w16cid:durableId="2013138305">
    <w:abstractNumId w:val="1"/>
  </w:num>
  <w:num w:numId="3" w16cid:durableId="890648986">
    <w:abstractNumId w:val="2"/>
  </w:num>
  <w:num w:numId="4" w16cid:durableId="2077512895">
    <w:abstractNumId w:val="3"/>
  </w:num>
  <w:num w:numId="5" w16cid:durableId="1646275076">
    <w:abstractNumId w:val="4"/>
  </w:num>
  <w:num w:numId="6" w16cid:durableId="200867871">
    <w:abstractNumId w:val="5"/>
  </w:num>
  <w:num w:numId="7" w16cid:durableId="1606766428">
    <w:abstractNumId w:val="6"/>
  </w:num>
  <w:num w:numId="8" w16cid:durableId="1168911574">
    <w:abstractNumId w:val="7"/>
  </w:num>
  <w:num w:numId="9" w16cid:durableId="937445179">
    <w:abstractNumId w:val="8"/>
  </w:num>
  <w:num w:numId="10" w16cid:durableId="1426615620">
    <w:abstractNumId w:val="9"/>
  </w:num>
  <w:num w:numId="11" w16cid:durableId="675308668">
    <w:abstractNumId w:val="10"/>
  </w:num>
  <w:num w:numId="12" w16cid:durableId="868106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FE"/>
    <w:rsid w:val="00003DD3"/>
    <w:rsid w:val="00050EC2"/>
    <w:rsid w:val="00062D77"/>
    <w:rsid w:val="001366F6"/>
    <w:rsid w:val="00165A8F"/>
    <w:rsid w:val="0020097F"/>
    <w:rsid w:val="00240CF0"/>
    <w:rsid w:val="0025300E"/>
    <w:rsid w:val="003213CD"/>
    <w:rsid w:val="00321665"/>
    <w:rsid w:val="003C2FE8"/>
    <w:rsid w:val="003E4B1D"/>
    <w:rsid w:val="004275B9"/>
    <w:rsid w:val="00464630"/>
    <w:rsid w:val="004B3F07"/>
    <w:rsid w:val="0053590C"/>
    <w:rsid w:val="00544BBA"/>
    <w:rsid w:val="005B717F"/>
    <w:rsid w:val="005D608E"/>
    <w:rsid w:val="00615380"/>
    <w:rsid w:val="006278DC"/>
    <w:rsid w:val="006D528F"/>
    <w:rsid w:val="00723D98"/>
    <w:rsid w:val="00763BE9"/>
    <w:rsid w:val="007C468D"/>
    <w:rsid w:val="007D3FC0"/>
    <w:rsid w:val="00801440"/>
    <w:rsid w:val="008153FE"/>
    <w:rsid w:val="00825A15"/>
    <w:rsid w:val="00925DE0"/>
    <w:rsid w:val="009B5B08"/>
    <w:rsid w:val="00A471C3"/>
    <w:rsid w:val="00CC061D"/>
    <w:rsid w:val="00D1473C"/>
    <w:rsid w:val="00E2249D"/>
    <w:rsid w:val="00E23FB3"/>
    <w:rsid w:val="00F53468"/>
    <w:rsid w:val="00F84A8B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F3B14"/>
  <w15:chartTrackingRefBased/>
  <w15:docId w15:val="{C41C9A3C-87D0-4970-BF34-908CE629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 w:cs="font1275"/>
      <w:color w:val="2F5496"/>
      <w:sz w:val="32"/>
      <w:szCs w:val="32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100" w:after="10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Nevyeenzmnka1">
    <w:name w:val="Nevyřešená zmínka1"/>
    <w:rPr>
      <w:color w:val="605E5C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basedOn w:val="Standardnpsmoodstavce1"/>
    <w:rPr>
      <w:vertAlign w:val="superscript"/>
    </w:rPr>
  </w:style>
  <w:style w:type="character" w:customStyle="1" w:styleId="Nadpis1Char">
    <w:name w:val="Nadpis 1 Char"/>
    <w:basedOn w:val="Standardnpsmoodstavce1"/>
    <w:rPr>
      <w:rFonts w:ascii="Calibri Light" w:hAnsi="Calibri Light" w:cs="font1275"/>
      <w:color w:val="2F5496"/>
      <w:sz w:val="32"/>
      <w:szCs w:val="32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i w:val="0"/>
      <w:iCs w:val="0"/>
    </w:rPr>
  </w:style>
  <w:style w:type="character" w:customStyle="1" w:styleId="ListLabel5">
    <w:name w:val="ListLabel 5"/>
    <w:rPr>
      <w:b w:val="0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Normlnweb1">
    <w:name w:val="Normální (web)1"/>
    <w:basedOn w:val="Normln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Bezmezer1">
    <w:name w:val="Bez mezer1"/>
    <w:pPr>
      <w:suppressAutoHyphens/>
    </w:pPr>
    <w:rPr>
      <w:sz w:val="24"/>
      <w:lang w:eastAsia="ar-SA"/>
    </w:rPr>
  </w:style>
  <w:style w:type="paragraph" w:customStyle="1" w:styleId="Normlnodsazen">
    <w:name w:val="Normální odsazen"/>
    <w:basedOn w:val="Normln"/>
    <w:pPr>
      <w:spacing w:line="300" w:lineRule="exact"/>
      <w:ind w:left="454" w:right="567" w:hanging="454"/>
    </w:pPr>
    <w:rPr>
      <w:sz w:val="22"/>
    </w:rPr>
  </w:style>
  <w:style w:type="paragraph" w:customStyle="1" w:styleId="Radausnesen">
    <w:name w:val="Rada usnesení"/>
    <w:basedOn w:val="Normln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20"/>
      <w:jc w:val="both"/>
    </w:pPr>
    <w:rPr>
      <w:rFonts w:ascii="Arial" w:eastAsia="Calibri" w:hAnsi="Arial" w:cs="Arial"/>
      <w:sz w:val="22"/>
      <w:szCs w:val="22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PodpisovePole">
    <w:name w:val="PodpisovePole"/>
    <w:basedOn w:val="Normln"/>
    <w:pPr>
      <w:suppressLineNumbers/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097F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097F"/>
    <w:rPr>
      <w:rFonts w:eastAsia="SimSun" w:cs="Mangal"/>
      <w:kern w:val="1"/>
      <w:szCs w:val="18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C061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1137</Words>
  <Characters>6714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sekretariat</cp:lastModifiedBy>
  <cp:revision>2</cp:revision>
  <cp:lastPrinted>2025-10-08T13:03:00Z</cp:lastPrinted>
  <dcterms:created xsi:type="dcterms:W3CDTF">2026-02-25T08:00:00Z</dcterms:created>
  <dcterms:modified xsi:type="dcterms:W3CDTF">2026-02-25T08:00:00Z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