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fontTable.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jc w:val="center"/>
        <w:rPr>
          <w:rFonts w:ascii="Open Sans" w:hAnsi="Open Sans" w:eastAsia="Open Sans" w:cs="Open Sans"/>
          <w:b/>
          <w:bCs/>
          <w:sz w:val="40"/>
          <w:szCs w:val="40"/>
        </w:rPr>
      </w:pPr>
      <w:r>
        <w:rPr>
          <w:rFonts w:eastAsia="Open Sans" w:cs="Open Sans" w:ascii="Open Sans" w:hAnsi="Open Sans"/>
          <w:b/>
          <w:bCs/>
          <w:sz w:val="40"/>
          <w:szCs w:val="40"/>
        </w:rPr>
        <w:t>OBEC BISKUPICE-PULKOV</w:t>
      </w:r>
    </w:p>
    <w:p>
      <w:pPr>
        <w:pStyle w:val="LO-normal"/>
        <w:jc w:val="center"/>
        <w:rPr>
          <w:rFonts w:ascii="Open Sans" w:hAnsi="Open Sans" w:eastAsia="Open Sans" w:cs="Open Sans"/>
          <w:b/>
          <w:bCs/>
          <w:sz w:val="40"/>
          <w:szCs w:val="40"/>
        </w:rPr>
      </w:pPr>
      <w:r>
        <w:rPr>
          <w:rFonts w:eastAsia="Open Sans" w:cs="Open Sans" w:ascii="Open Sans" w:hAnsi="Open Sans"/>
          <w:b/>
          <w:bCs/>
          <w:sz w:val="40"/>
          <w:szCs w:val="40"/>
        </w:rPr>
        <w:t>Zastupitelstvo obce Biskupice-Pulkov</w:t>
      </w:r>
    </w:p>
    <w:p>
      <w:pPr>
        <w:pStyle w:val="LO-normal"/>
        <w:jc w:val="both"/>
        <w:rPr>
          <w:rFonts w:ascii="Open Sans" w:hAnsi="Open Sans" w:eastAsia="Open Sans" w:cs="Open Sans"/>
        </w:rPr>
      </w:pPr>
      <w:r>
        <w:rPr>
          <w:rFonts w:eastAsia="Open Sans" w:cs="Open Sans" w:ascii="Open Sans" w:hAnsi="Open Sans"/>
        </w:rPr>
      </w:r>
    </w:p>
    <w:p>
      <w:pPr>
        <w:pStyle w:val="LO-normal"/>
        <w:jc w:val="both"/>
        <w:rPr>
          <w:rFonts w:ascii="Open Sans" w:hAnsi="Open Sans" w:eastAsia="Open Sans" w:cs="Open Sans"/>
        </w:rPr>
      </w:pPr>
      <w:r>
        <w:rPr>
          <w:rFonts w:eastAsia="Open Sans" w:cs="Open Sans" w:ascii="Open Sans" w:hAnsi="Open Sans"/>
        </w:rPr>
      </w:r>
    </w:p>
    <w:p>
      <w:pPr>
        <w:pStyle w:val="LO-normal"/>
        <w:spacing w:lineRule="auto" w:line="240"/>
        <w:jc w:val="center"/>
        <w:rPr>
          <w:rFonts w:ascii="Open Sans" w:hAnsi="Open Sans" w:eastAsia="Open Sans" w:cs="Open Sans"/>
          <w:b/>
          <w:bCs/>
          <w:sz w:val="28"/>
          <w:szCs w:val="28"/>
        </w:rPr>
      </w:pPr>
      <w:r>
        <w:rPr>
          <w:rFonts w:eastAsia="Open Sans" w:cs="Open Sans" w:ascii="Open Sans" w:hAnsi="Open Sans"/>
          <w:b/>
          <w:bCs/>
          <w:sz w:val="28"/>
          <w:szCs w:val="28"/>
        </w:rPr>
        <w:t>Obecně závazná vyhláška obce Biskupice-Pulkov</w:t>
      </w:r>
    </w:p>
    <w:p>
      <w:pPr>
        <w:pStyle w:val="LO-normal"/>
        <w:spacing w:lineRule="auto" w:line="240"/>
        <w:jc w:val="center"/>
        <w:rPr>
          <w:rFonts w:ascii="Open Sans" w:hAnsi="Open Sans" w:eastAsia="Open Sans" w:cs="Open Sans"/>
          <w:b/>
          <w:bCs/>
          <w:sz w:val="28"/>
          <w:szCs w:val="28"/>
        </w:rPr>
      </w:pPr>
      <w:r>
        <w:rPr>
          <w:rFonts w:eastAsia="Open Sans" w:cs="Open Sans" w:ascii="Open Sans" w:hAnsi="Open Sans"/>
          <w:b/>
          <w:bCs/>
          <w:sz w:val="28"/>
          <w:szCs w:val="28"/>
        </w:rPr>
        <w:t>o stanovení obecního systému odpadového hospodářství</w:t>
      </w:r>
    </w:p>
    <w:p>
      <w:pPr>
        <w:pStyle w:val="LO-normal"/>
        <w:spacing w:lineRule="auto" w:line="264" w:before="240" w:after="0"/>
        <w:jc w:val="both"/>
        <w:rPr>
          <w:rFonts w:ascii="Open Sans" w:hAnsi="Open Sans" w:eastAsia="Open Sans" w:cs="Open Sans"/>
          <w:sz w:val="26"/>
          <w:szCs w:val="26"/>
        </w:rPr>
      </w:pPr>
      <w:r>
        <w:rPr>
          <w:rFonts w:eastAsia="Open Sans" w:cs="Open Sans" w:ascii="Open Sans" w:hAnsi="Open Sans"/>
          <w:sz w:val="26"/>
          <w:szCs w:val="26"/>
        </w:rPr>
      </w:r>
    </w:p>
    <w:p>
      <w:pPr>
        <w:pStyle w:val="LO-normal"/>
        <w:spacing w:lineRule="auto" w:line="264" w:before="240" w:after="0"/>
        <w:jc w:val="both"/>
        <w:rPr>
          <w:sz w:val="22"/>
          <w:szCs w:val="22"/>
        </w:rPr>
      </w:pPr>
      <w:r>
        <w:rPr>
          <w:rFonts w:eastAsia="Open Sans" w:cs="Open Sans" w:ascii="Open Sans" w:hAnsi="Open Sans"/>
          <w:sz w:val="22"/>
          <w:szCs w:val="22"/>
        </w:rPr>
        <w:t>Zastupitelstvo obce Biskupice-Pulkov se na svém zasedání dne 29. 4. 2026 usnesením č. 6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pPr>
        <w:pStyle w:val="LO-normal"/>
        <w:spacing w:lineRule="auto" w:line="264" w:before="240" w:after="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251" w:after="0"/>
        <w:ind w:left="0" w:right="4395" w:hanging="0"/>
        <w:jc w:val="right"/>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1 </w:t>
      </w:r>
    </w:p>
    <w:p>
      <w:pPr>
        <w:pStyle w:val="LO-normal"/>
        <w:keepNext w:val="false"/>
        <w:keepLines w:val="false"/>
        <w:pageBreakBefore w:val="false"/>
        <w:widowControl w:val="false"/>
        <w:shd w:val="clear" w:fill="auto"/>
        <w:spacing w:lineRule="auto" w:line="240" w:before="0" w:after="0"/>
        <w:ind w:left="0" w:right="3606" w:hanging="0"/>
        <w:jc w:val="right"/>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Úvodní ustanovení </w:t>
      </w:r>
    </w:p>
    <w:p>
      <w:pPr>
        <w:pStyle w:val="LO-normal"/>
        <w:keepNext w:val="false"/>
        <w:keepLines w:val="false"/>
        <w:pageBreakBefore w:val="false"/>
        <w:widowControl w:val="false"/>
        <w:numPr>
          <w:ilvl w:val="0"/>
          <w:numId w:val="12"/>
        </w:numPr>
        <w:shd w:val="clear" w:fill="auto"/>
        <w:spacing w:lineRule="auto" w:line="228" w:before="249" w:after="0"/>
        <w:ind w:left="357" w:right="-4"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Tato vyhláška stanovuje obecní systém odpadového hospodářství na území obce</w:t>
      </w:r>
      <w:r>
        <w:rPr>
          <w:rFonts w:eastAsia="Open Sans" w:cs="Open Sans" w:ascii="Open Sans" w:hAnsi="Open Sans"/>
          <w:sz w:val="22"/>
          <w:szCs w:val="22"/>
        </w:rPr>
        <w:t xml:space="preserve"> Biskupice-Pulkov.</w:t>
      </w:r>
    </w:p>
    <w:p>
      <w:pPr>
        <w:pStyle w:val="LO-normal"/>
        <w:keepNext w:val="false"/>
        <w:keepLines w:val="false"/>
        <w:pageBreakBefore w:val="false"/>
        <w:widowControl w:val="false"/>
        <w:numPr>
          <w:ilvl w:val="0"/>
          <w:numId w:val="12"/>
        </w:numPr>
        <w:shd w:val="clear" w:fill="auto"/>
        <w:spacing w:lineRule="auto" w:line="228" w:before="200" w:after="0"/>
        <w:ind w:left="357" w:right="-4"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Každý je povinen odpad nebo movitou věc, které předává do obecního systému, odkládat na  místa určená obcí v souladu s povinnostmi stanovenými pro daný druh, kategorii nebo  materiál odpadu nebo movitých věcí zákonem o odpadech a touto vyhláškou. </w:t>
      </w:r>
    </w:p>
    <w:p>
      <w:pPr>
        <w:pStyle w:val="LO-normal"/>
        <w:keepNext w:val="false"/>
        <w:keepLines w:val="false"/>
        <w:pageBreakBefore w:val="false"/>
        <w:widowControl w:val="false"/>
        <w:numPr>
          <w:ilvl w:val="0"/>
          <w:numId w:val="12"/>
        </w:numPr>
        <w:shd w:val="clear" w:fill="auto"/>
        <w:spacing w:lineRule="auto" w:line="218" w:before="200" w:after="0"/>
        <w:ind w:left="357" w:right="-4"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V okamžiku, kdy osoba zapojená do obecního systému odloží movitou věc nebo odpad,  s výjimkou výrobků s ukončenou životností, na místě obcí k tomuto účelu určeném, stává se  obec vlastníkem této movité věci nebo odpadu.  </w:t>
      </w:r>
    </w:p>
    <w:p>
      <w:pPr>
        <w:pStyle w:val="LO-normal"/>
        <w:keepNext w:val="false"/>
        <w:keepLines w:val="false"/>
        <w:pageBreakBefore w:val="false"/>
        <w:widowControl w:val="false"/>
        <w:numPr>
          <w:ilvl w:val="0"/>
          <w:numId w:val="12"/>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pPr>
        <w:pStyle w:val="LO-normal"/>
        <w:keepNext w:val="false"/>
        <w:keepLines w:val="false"/>
        <w:pageBreakBefore w:val="false"/>
        <w:widowControl w:val="false"/>
        <w:shd w:val="clear" w:fill="auto"/>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2 </w:t>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Oddělené soustřeďování komunálního odpadu  </w:t>
      </w:r>
    </w:p>
    <w:p>
      <w:pPr>
        <w:pStyle w:val="LO-normal"/>
        <w:keepNext w:val="false"/>
        <w:keepLines w:val="false"/>
        <w:pageBreakBefore w:val="false"/>
        <w:widowControl w:val="false"/>
        <w:numPr>
          <w:ilvl w:val="0"/>
          <w:numId w:val="2"/>
        </w:numPr>
        <w:shd w:val="clear" w:fill="auto"/>
        <w:spacing w:lineRule="auto" w:line="228" w:before="249"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Osoby předávající komunální odpad na místa určená obcí jsou povinny odděleně  soustřeďovat následující složky: </w:t>
      </w:r>
    </w:p>
    <w:p>
      <w:pPr>
        <w:pStyle w:val="LO-normal"/>
        <w:keepNext w:val="false"/>
        <w:keepLines w:val="false"/>
        <w:pageBreakBefore w:val="false"/>
        <w:widowControl w:val="false"/>
        <w:shd w:val="clear" w:fill="auto"/>
        <w:spacing w:lineRule="auto" w:line="240" w:before="258"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a) Biologické odpady rostlinného původu,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b) Papír,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c) Plasty včetně PET lahví a nápojové kartony,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d) Sklo</w:t>
      </w:r>
      <w:r>
        <w:rPr>
          <w:rFonts w:eastAsia="Open Sans" w:cs="Open Sans" w:ascii="Open Sans" w:hAnsi="Open Sans"/>
          <w:i/>
          <w:iCs/>
          <w:sz w:val="22"/>
          <w:szCs w:val="22"/>
        </w:rPr>
        <w:t xml:space="preserve"> čiré a barevné,</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sz w:val="22"/>
          <w:szCs w:val="22"/>
        </w:rPr>
        <w:t>e</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Kovy,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sz w:val="22"/>
          <w:szCs w:val="22"/>
        </w:rPr>
        <w:t>f</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Nebezpečné odpad,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sz w:val="22"/>
          <w:szCs w:val="22"/>
        </w:rPr>
        <w:t>g</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Objemný odpad, </w:t>
      </w:r>
    </w:p>
    <w:p>
      <w:pPr>
        <w:pStyle w:val="LO-normal"/>
        <w:keepNext w:val="false"/>
        <w:keepLines w:val="false"/>
        <w:pageBreakBefore w:val="false"/>
        <w:widowControl w:val="false"/>
        <w:shd w:val="clear" w:fill="auto"/>
        <w:spacing w:lineRule="auto" w:line="240" w:before="0" w:after="0"/>
        <w:ind w:left="1077" w:right="0" w:hanging="357"/>
        <w:jc w:val="both"/>
        <w:rPr>
          <w:sz w:val="22"/>
          <w:szCs w:val="22"/>
        </w:rPr>
      </w:pPr>
      <w:r>
        <w:rPr>
          <w:rFonts w:eastAsia="Open Sans" w:cs="Open Sans" w:ascii="Open Sans" w:hAnsi="Open Sans"/>
          <w:i/>
          <w:iCs/>
          <w:sz w:val="22"/>
          <w:szCs w:val="22"/>
        </w:rPr>
        <w:t>h</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Jedlé oleje a tuky, </w:t>
      </w:r>
    </w:p>
    <w:p>
      <w:pPr>
        <w:pStyle w:val="LO-normal"/>
        <w:keepNext w:val="false"/>
        <w:keepLines w:val="false"/>
        <w:pageBreakBefore w:val="false"/>
        <w:widowControl w:val="false"/>
        <w:shd w:val="clear" w:fill="auto"/>
        <w:spacing w:lineRule="auto" w:line="228" w:before="0" w:after="0"/>
        <w:ind w:left="1077" w:right="0" w:hanging="357"/>
        <w:jc w:val="both"/>
        <w:rPr>
          <w:sz w:val="22"/>
          <w:szCs w:val="22"/>
        </w:rPr>
      </w:pPr>
      <w:r>
        <w:rPr>
          <w:rFonts w:eastAsia="Open Sans" w:cs="Open Sans" w:ascii="Open Sans" w:hAnsi="Open Sans"/>
          <w:i/>
          <w:iCs/>
          <w:sz w:val="22"/>
          <w:szCs w:val="22"/>
        </w:rPr>
        <w:t>i</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Textil</w:t>
      </w:r>
    </w:p>
    <w:p>
      <w:pPr>
        <w:pStyle w:val="LO-normal"/>
        <w:keepNext w:val="false"/>
        <w:keepLines w:val="false"/>
        <w:pageBreakBefore w:val="false"/>
        <w:widowControl w:val="false"/>
        <w:shd w:val="clear" w:fill="auto"/>
        <w:spacing w:lineRule="auto" w:line="228" w:before="0" w:after="0"/>
        <w:ind w:left="1077" w:right="0" w:hanging="357"/>
        <w:jc w:val="both"/>
        <w:rPr>
          <w:sz w:val="22"/>
          <w:szCs w:val="22"/>
        </w:rPr>
      </w:pPr>
      <w:r>
        <w:rPr>
          <w:rFonts w:eastAsia="Open Sans" w:cs="Open Sans" w:ascii="Open Sans" w:hAnsi="Open Sans"/>
          <w:i/>
          <w:iCs/>
          <w:sz w:val="22"/>
          <w:szCs w:val="22"/>
        </w:rPr>
        <w:t>j</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Směsný komunální odpad </w:t>
      </w:r>
    </w:p>
    <w:p>
      <w:pPr>
        <w:pStyle w:val="LO-normal"/>
        <w:keepNext w:val="false"/>
        <w:keepLines w:val="false"/>
        <w:pageBreakBefore w:val="false"/>
        <w:widowControl w:val="false"/>
        <w:numPr>
          <w:ilvl w:val="0"/>
          <w:numId w:val="2"/>
        </w:numPr>
        <w:shd w:val="clear" w:fill="auto"/>
        <w:spacing w:lineRule="auto" w:line="228" w:before="249"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Směsným komunálním odpadem se rozumí zbylý komunální odpad po stanoveném  vytřídění podle odstavce 1 písm. a), b), c), d), e), f), g), h) a i). </w:t>
      </w:r>
    </w:p>
    <w:p>
      <w:pPr>
        <w:pStyle w:val="LO-normal"/>
        <w:keepNext w:val="false"/>
        <w:keepLines w:val="false"/>
        <w:pageBreakBefore w:val="false"/>
        <w:widowControl w:val="false"/>
        <w:numPr>
          <w:ilvl w:val="0"/>
          <w:numId w:val="2"/>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Objemný odpad je takový odpad, který vzhledem ke svým rozměrům nemůže být  umístěn do sběrných nádob. </w:t>
      </w:r>
    </w:p>
    <w:p>
      <w:pPr>
        <w:pStyle w:val="LO-normal"/>
        <w:keepNext w:val="false"/>
        <w:keepLines w:val="false"/>
        <w:pageBreakBefore w:val="false"/>
        <w:widowControl w:val="false"/>
        <w:shd w:val="clear" w:fill="auto"/>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28" w:before="257"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3 </w:t>
      </w:r>
    </w:p>
    <w:p>
      <w:pPr>
        <w:pStyle w:val="LO-normal"/>
        <w:keepNext w:val="false"/>
        <w:keepLines w:val="false"/>
        <w:pageBreakBefore w:val="false"/>
        <w:widowControl w:val="false"/>
        <w:shd w:val="clear" w:fill="auto"/>
        <w:spacing w:lineRule="auto" w:line="228"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Soustřeďování papíru, plastů, skla, kovů, biologického odpadu rostlinného původu,</w:t>
      </w:r>
      <w:r>
        <w:rPr>
          <w:rFonts w:eastAsia="Open Sans" w:cs="Open Sans" w:ascii="Open Sans" w:hAnsi="Open Sans"/>
          <w:b/>
          <w:bCs/>
          <w:sz w:val="22"/>
          <w:szCs w:val="22"/>
        </w:rPr>
        <w:t xml:space="preserve"> </w:t>
      </w: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jedlých olejů a tuků, textilu </w:t>
      </w:r>
    </w:p>
    <w:p>
      <w:pPr>
        <w:pStyle w:val="LO-normal"/>
        <w:keepNext w:val="false"/>
        <w:keepLines w:val="false"/>
        <w:pageBreakBefore w:val="false"/>
        <w:widowControl w:val="false"/>
        <w:numPr>
          <w:ilvl w:val="0"/>
          <w:numId w:val="4"/>
        </w:numPr>
        <w:shd w:val="clear" w:fill="auto"/>
        <w:spacing w:lineRule="auto" w:line="228" w:before="257"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Papír, plasty, sklo, kovy, biologické odpady rostlinného původu, jedlé oleje a tuky, textil se soustřeďují do zvláštních sběrných nádob, </w:t>
      </w:r>
      <w:r>
        <w:rPr>
          <w:rFonts w:eastAsia="Open Sans" w:cs="Open Sans" w:ascii="Open Sans" w:hAnsi="Open Sans"/>
          <w:sz w:val="22"/>
          <w:szCs w:val="22"/>
        </w:rPr>
        <w:t>kterými jsou kontejnery a popelnice 240L.</w:t>
      </w:r>
    </w:p>
    <w:p>
      <w:pPr>
        <w:pStyle w:val="LO-normal"/>
        <w:keepNext w:val="false"/>
        <w:keepLines w:val="false"/>
        <w:pageBreakBefore w:val="false"/>
        <w:widowControl w:val="false"/>
        <w:numPr>
          <w:ilvl w:val="0"/>
          <w:numId w:val="4"/>
        </w:numPr>
        <w:shd w:val="clear" w:fill="auto"/>
        <w:spacing w:lineRule="auto" w:line="240" w:before="200" w:after="0"/>
        <w:ind w:left="357" w:right="0" w:hanging="357"/>
        <w:jc w:val="both"/>
        <w:rPr>
          <w:sz w:val="22"/>
          <w:szCs w:val="22"/>
        </w:rPr>
      </w:pPr>
      <w:r>
        <w:rPr>
          <w:rFonts w:eastAsia="Open Sans" w:cs="Open Sans" w:ascii="Open Sans" w:hAnsi="Open Sans"/>
          <w:sz w:val="22"/>
          <w:szCs w:val="22"/>
        </w:rPr>
        <w:t>Místa pro oddělené soustřeďování složek komunálního odpadu uvedených v čl. 2 odst. 1 písm. a) až i) jsou určena umístěním zvláštních sběrných nádob na těchto stanovištích: Biskupice u obchodu, Biskupice na náměstí, Biskupice u kulturního domu, Biskupice u bytovek a Pulkov na náměstí. Informace o umístění jsou také zveřejněny na webových stránkách obce.</w:t>
      </w:r>
    </w:p>
    <w:p>
      <w:pPr>
        <w:pStyle w:val="LO-normal"/>
        <w:keepNext w:val="false"/>
        <w:keepLines w:val="false"/>
        <w:pageBreakBefore w:val="false"/>
        <w:widowControl w:val="false"/>
        <w:numPr>
          <w:ilvl w:val="0"/>
          <w:numId w:val="4"/>
        </w:numPr>
        <w:shd w:val="clear" w:fill="auto"/>
        <w:spacing w:lineRule="auto" w:line="240"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Zvláštní sběrné nádoby jsou barevně odlišeny a označeny příslušnými nápisy: </w:t>
      </w:r>
    </w:p>
    <w:p>
      <w:pPr>
        <w:pStyle w:val="LO-normal"/>
        <w:keepNext w:val="false"/>
        <w:keepLines w:val="false"/>
        <w:pageBreakBefore w:val="false"/>
        <w:widowControl w:val="false"/>
        <w:numPr>
          <w:ilvl w:val="0"/>
          <w:numId w:val="10"/>
        </w:numPr>
        <w:shd w:val="clear" w:fill="auto"/>
        <w:spacing w:lineRule="auto" w:line="240" w:before="20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Biologické odpady rostlinného původu, barva </w:t>
      </w:r>
      <w:r>
        <w:rPr>
          <w:rFonts w:eastAsia="Open Sans" w:cs="Open Sans" w:ascii="Open Sans" w:hAnsi="Open Sans"/>
          <w:i/>
          <w:iCs/>
          <w:sz w:val="22"/>
          <w:szCs w:val="22"/>
        </w:rPr>
        <w:t>hnědá,</w:t>
      </w:r>
    </w:p>
    <w:p>
      <w:pPr>
        <w:pStyle w:val="LO-normal"/>
        <w:keepNext w:val="false"/>
        <w:keepLines w:val="false"/>
        <w:pageBreakBefore w:val="false"/>
        <w:widowControl w:val="false"/>
        <w:numPr>
          <w:ilvl w:val="0"/>
          <w:numId w:val="10"/>
        </w:numPr>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Papír, barva </w:t>
      </w:r>
      <w:r>
        <w:rPr>
          <w:rFonts w:eastAsia="Open Sans" w:cs="Open Sans" w:ascii="Open Sans" w:hAnsi="Open Sans"/>
          <w:i/>
          <w:iCs/>
          <w:sz w:val="22"/>
          <w:szCs w:val="22"/>
        </w:rPr>
        <w:t>modrá,</w:t>
      </w:r>
    </w:p>
    <w:p>
      <w:pPr>
        <w:pStyle w:val="LO-normal"/>
        <w:keepNext w:val="false"/>
        <w:keepLines w:val="false"/>
        <w:pageBreakBefore w:val="false"/>
        <w:widowControl w:val="false"/>
        <w:numPr>
          <w:ilvl w:val="0"/>
          <w:numId w:val="10"/>
        </w:numPr>
        <w:shd w:val="clear" w:fill="auto"/>
        <w:spacing w:lineRule="auto" w:line="228"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Plasty, PET lahve</w:t>
      </w:r>
      <w:r>
        <w:rPr>
          <w:rFonts w:eastAsia="Open Sans" w:cs="Open Sans" w:ascii="Open Sans" w:hAnsi="Open Sans"/>
          <w:i/>
          <w:iCs/>
          <w:sz w:val="22"/>
          <w:szCs w:val="22"/>
        </w:rPr>
        <w:t xml:space="preserve"> a nápojové kartony, </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barva </w:t>
      </w:r>
      <w:r>
        <w:rPr>
          <w:rFonts w:eastAsia="Open Sans" w:cs="Open Sans" w:ascii="Open Sans" w:hAnsi="Open Sans"/>
          <w:i/>
          <w:iCs/>
          <w:sz w:val="22"/>
          <w:szCs w:val="22"/>
        </w:rPr>
        <w:t>žlutá,</w:t>
      </w:r>
    </w:p>
    <w:p>
      <w:pPr>
        <w:pStyle w:val="LO-normal"/>
        <w:keepNext w:val="false"/>
        <w:keepLines w:val="false"/>
        <w:pageBreakBefore w:val="false"/>
        <w:widowControl w:val="false"/>
        <w:numPr>
          <w:ilvl w:val="0"/>
          <w:numId w:val="10"/>
        </w:numPr>
        <w:shd w:val="clear" w:fill="auto"/>
        <w:spacing w:lineRule="auto" w:line="228"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Sklo čiré</w:t>
      </w:r>
      <w:r>
        <w:rPr>
          <w:rFonts w:eastAsia="Open Sans" w:cs="Open Sans" w:ascii="Open Sans" w:hAnsi="Open Sans"/>
          <w:i/>
          <w:iCs/>
          <w:sz w:val="22"/>
          <w:szCs w:val="22"/>
        </w:rPr>
        <w:t xml:space="preserve">, </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barva </w:t>
      </w:r>
      <w:r>
        <w:rPr>
          <w:rFonts w:eastAsia="Open Sans" w:cs="Open Sans" w:ascii="Open Sans" w:hAnsi="Open Sans"/>
          <w:i/>
          <w:iCs/>
          <w:sz w:val="22"/>
          <w:szCs w:val="22"/>
        </w:rPr>
        <w:t>bílá</w:t>
      </w:r>
    </w:p>
    <w:p>
      <w:pPr>
        <w:pStyle w:val="LO-normal"/>
        <w:keepNext w:val="false"/>
        <w:keepLines w:val="false"/>
        <w:pageBreakBefore w:val="false"/>
        <w:widowControl w:val="false"/>
        <w:numPr>
          <w:ilvl w:val="0"/>
          <w:numId w:val="10"/>
        </w:numPr>
        <w:shd w:val="clear" w:fill="auto"/>
        <w:spacing w:lineRule="auto" w:line="228" w:before="0" w:afterAutospacing="0" w:after="0"/>
        <w:ind w:left="1077" w:right="0" w:hanging="357"/>
        <w:jc w:val="both"/>
        <w:rPr>
          <w:sz w:val="22"/>
          <w:szCs w:val="22"/>
        </w:rPr>
      </w:pPr>
      <w:r>
        <w:rPr>
          <w:rFonts w:eastAsia="Open Sans" w:cs="Open Sans" w:ascii="Open Sans" w:hAnsi="Open Sans"/>
          <w:i/>
          <w:iCs/>
          <w:sz w:val="22"/>
          <w:szCs w:val="22"/>
        </w:rPr>
        <w:t>Sklo barevné, barva zelená,</w:t>
      </w:r>
    </w:p>
    <w:p>
      <w:pPr>
        <w:pStyle w:val="LO-normal"/>
        <w:keepNext w:val="false"/>
        <w:keepLines w:val="false"/>
        <w:pageBreakBefore w:val="false"/>
        <w:widowControl w:val="false"/>
        <w:numPr>
          <w:ilvl w:val="0"/>
          <w:numId w:val="10"/>
        </w:numPr>
        <w:shd w:val="clear" w:fill="auto"/>
        <w:spacing w:lineRule="auto" w:line="228" w:beforeAutospacing="0" w:before="0" w:afterAutospacing="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Kovy, barva</w:t>
      </w:r>
      <w:r>
        <w:rPr>
          <w:rFonts w:eastAsia="Open Sans" w:cs="Open Sans" w:ascii="Open Sans" w:hAnsi="Open Sans"/>
          <w:i/>
          <w:iCs/>
          <w:sz w:val="22"/>
          <w:szCs w:val="22"/>
        </w:rPr>
        <w:t xml:space="preserve"> šedá,</w:t>
      </w:r>
    </w:p>
    <w:p>
      <w:pPr>
        <w:pStyle w:val="LO-normal"/>
        <w:keepNext w:val="false"/>
        <w:keepLines w:val="false"/>
        <w:pageBreakBefore w:val="false"/>
        <w:widowControl w:val="false"/>
        <w:numPr>
          <w:ilvl w:val="0"/>
          <w:numId w:val="10"/>
        </w:numPr>
        <w:shd w:val="clear" w:fill="auto"/>
        <w:spacing w:lineRule="auto" w:line="228" w:beforeAutospacing="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Jedlé oleje a tuky, barva</w:t>
      </w:r>
      <w:r>
        <w:rPr>
          <w:rFonts w:eastAsia="Open Sans" w:cs="Open Sans" w:ascii="Open Sans" w:hAnsi="Open Sans"/>
          <w:i/>
          <w:iCs/>
          <w:sz w:val="22"/>
          <w:szCs w:val="22"/>
        </w:rPr>
        <w:t xml:space="preserve"> zelená,</w:t>
      </w:r>
    </w:p>
    <w:p>
      <w:pPr>
        <w:pStyle w:val="LO-normal"/>
        <w:keepNext w:val="false"/>
        <w:keepLines w:val="false"/>
        <w:pageBreakBefore w:val="false"/>
        <w:widowControl w:val="false"/>
        <w:numPr>
          <w:ilvl w:val="0"/>
          <w:numId w:val="10"/>
        </w:numPr>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Textil, barva</w:t>
      </w:r>
      <w:r>
        <w:rPr>
          <w:rFonts w:eastAsia="Open Sans" w:cs="Open Sans" w:ascii="Open Sans" w:hAnsi="Open Sans"/>
          <w:i/>
          <w:iCs/>
          <w:sz w:val="22"/>
          <w:szCs w:val="22"/>
        </w:rPr>
        <w:t xml:space="preserve"> bílá.</w:t>
      </w:r>
    </w:p>
    <w:p>
      <w:pPr>
        <w:pStyle w:val="LO-normal"/>
        <w:keepNext w:val="false"/>
        <w:keepLines w:val="false"/>
        <w:pageBreakBefore w:val="false"/>
        <w:widowControl w:val="false"/>
        <w:numPr>
          <w:ilvl w:val="0"/>
          <w:numId w:val="4"/>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Do zvláštních sběrných nádob je zakázáno ukládat jiné složky komunálních odpadů, než pro které jsou určeny. </w:t>
      </w:r>
    </w:p>
    <w:p>
      <w:pPr>
        <w:pStyle w:val="LO-normal"/>
        <w:keepNext w:val="false"/>
        <w:keepLines w:val="false"/>
        <w:pageBreakBefore w:val="false"/>
        <w:widowControl w:val="false"/>
        <w:numPr>
          <w:ilvl w:val="0"/>
          <w:numId w:val="4"/>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Zvláštní sběrné nádoby je povinnost plnit tak, aby je bylo možno uzavřít a odpad z nich  při manipulaci nevypadával. Pokud to umožňuje povaha odpadu, je nutno objem odpadu  před jeho odložením do sběrné nádoby minimalizovat.  </w:t>
      </w:r>
    </w:p>
    <w:p>
      <w:pPr>
        <w:pStyle w:val="LO-normal"/>
        <w:keepNext w:val="false"/>
        <w:keepLines w:val="false"/>
        <w:pageBreakBefore w:val="false"/>
        <w:widowControl w:val="false"/>
        <w:numPr>
          <w:ilvl w:val="0"/>
          <w:numId w:val="4"/>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Papír, plasty a nápojové kartony, sklo, kovy</w:t>
      </w:r>
      <w:r>
        <w:rPr>
          <w:rFonts w:eastAsia="Open Sans" w:cs="Open Sans" w:ascii="Open Sans" w:hAnsi="Open Sans"/>
          <w:sz w:val="22"/>
          <w:szCs w:val="22"/>
        </w:rPr>
        <w:t xml:space="preserve">, jedlé oleje a tuky, biologický odpad a textil </w:t>
      </w: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lze také odevzdávat ve sběrném dvoře, který je </w:t>
      </w:r>
      <w:r>
        <w:rPr>
          <w:rFonts w:eastAsia="Open Sans" w:cs="Open Sans" w:ascii="Open Sans" w:hAnsi="Open Sans"/>
          <w:sz w:val="22"/>
          <w:szCs w:val="22"/>
        </w:rPr>
        <w:t>v Hrotovicích - ulice Hladov, 675 55 Hrotovice.</w:t>
      </w:r>
    </w:p>
    <w:p>
      <w:pPr>
        <w:pStyle w:val="LO-normal"/>
        <w:keepNext w:val="false"/>
        <w:keepLines w:val="false"/>
        <w:pageBreakBefore w:val="false"/>
        <w:widowControl w:val="false"/>
        <w:shd w:val="clear" w:fill="auto"/>
        <w:spacing w:lineRule="auto" w:line="228" w:before="200" w:after="0"/>
        <w:ind w:left="357" w:right="0" w:hanging="357"/>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282"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4 </w:t>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Svoz nebezpečných složek komunálního odpadu </w:t>
      </w:r>
    </w:p>
    <w:p>
      <w:pPr>
        <w:pStyle w:val="LO-normal"/>
        <w:keepNext w:val="false"/>
        <w:keepLines w:val="false"/>
        <w:pageBreakBefore w:val="false"/>
        <w:widowControl w:val="false"/>
        <w:numPr>
          <w:ilvl w:val="0"/>
          <w:numId w:val="8"/>
        </w:numPr>
        <w:shd w:val="clear" w:fill="auto"/>
        <w:spacing w:lineRule="auto" w:line="228" w:before="247"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Svoz nebezpečných složek komunálního odpadu je zajišťován dvakrát ročně jejich odebíráním na předem vyhlášených přechodných stanovištích</w:t>
      </w:r>
      <w:r>
        <w:rPr>
          <w:rFonts w:eastAsia="Open Sans" w:cs="Open Sans" w:ascii="Open Sans" w:hAnsi="Open Sans"/>
          <w:sz w:val="22"/>
          <w:szCs w:val="22"/>
        </w:rPr>
        <w:t xml:space="preserve">. </w:t>
      </w: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Informace o svozu jsou zveřejňovány </w:t>
      </w:r>
      <w:r>
        <w:rPr>
          <w:rFonts w:eastAsia="Open Sans" w:cs="Open Sans" w:ascii="Open Sans" w:hAnsi="Open Sans"/>
          <w:sz w:val="22"/>
          <w:szCs w:val="22"/>
        </w:rPr>
        <w:t>způsobem v místě obvyklým a na webových stránkách obce.</w:t>
      </w:r>
    </w:p>
    <w:p>
      <w:pPr>
        <w:pStyle w:val="LO-normal"/>
        <w:keepNext w:val="false"/>
        <w:keepLines w:val="false"/>
        <w:pageBreakBefore w:val="false"/>
        <w:widowControl w:val="false"/>
        <w:numPr>
          <w:ilvl w:val="0"/>
          <w:numId w:val="8"/>
        </w:numPr>
        <w:shd w:val="clear" w:fill="auto"/>
        <w:spacing w:lineRule="auto" w:line="240"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Nebezpečný odpad lze také odevzdávat ve sběrném dvoře, který je umístěn </w:t>
      </w:r>
      <w:r>
        <w:rPr>
          <w:rFonts w:eastAsia="Open Sans" w:cs="Open Sans" w:ascii="Open Sans" w:hAnsi="Open Sans"/>
          <w:sz w:val="22"/>
          <w:szCs w:val="22"/>
        </w:rPr>
        <w:t>v Hrotovicích - ulice Hladov, 675 55 Hrotovice.</w:t>
      </w:r>
    </w:p>
    <w:p>
      <w:pPr>
        <w:pStyle w:val="LO-normal"/>
        <w:keepNext w:val="false"/>
        <w:keepLines w:val="false"/>
        <w:pageBreakBefore w:val="false"/>
        <w:widowControl w:val="false"/>
        <w:numPr>
          <w:ilvl w:val="0"/>
          <w:numId w:val="8"/>
        </w:numPr>
        <w:shd w:val="clear" w:fill="auto"/>
        <w:spacing w:lineRule="auto" w:line="240"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Soustřeďování nebezpečných složek komunálního odpadu podléhá požadavkům  stanoveným v čl. 3 odst. 4 a 5. </w:t>
      </w:r>
    </w:p>
    <w:p>
      <w:pPr>
        <w:pStyle w:val="LO-normal"/>
        <w:keepNext w:val="false"/>
        <w:keepLines w:val="false"/>
        <w:pageBreakBefore w:val="false"/>
        <w:widowControl w:val="false"/>
        <w:shd w:val="clear" w:fill="auto"/>
        <w:spacing w:lineRule="auto" w:line="240" w:before="200" w:after="0"/>
        <w:ind w:left="357" w:right="0" w:hanging="357"/>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200" w:after="0"/>
        <w:ind w:left="357" w:right="0" w:hanging="357"/>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259"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5 </w:t>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Svoz objemného odpadu </w:t>
      </w:r>
    </w:p>
    <w:p>
      <w:pPr>
        <w:pStyle w:val="LO-normal"/>
        <w:keepNext w:val="false"/>
        <w:keepLines w:val="false"/>
        <w:pageBreakBefore w:val="false"/>
        <w:widowControl w:val="false"/>
        <w:numPr>
          <w:ilvl w:val="0"/>
          <w:numId w:val="5"/>
        </w:numPr>
        <w:shd w:val="clear" w:fill="auto"/>
        <w:spacing w:lineRule="auto" w:line="228" w:before="249"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Svoz objemného odpadu je zajišťován </w:t>
      </w:r>
      <w:r>
        <w:rPr>
          <w:rFonts w:eastAsia="Open Sans" w:cs="Open Sans" w:ascii="Open Sans" w:hAnsi="Open Sans"/>
          <w:sz w:val="22"/>
          <w:szCs w:val="22"/>
        </w:rPr>
        <w:t>dvakrát ročně</w:t>
      </w: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 </w:t>
      </w: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jeho</w:t>
      </w:r>
      <w:r>
        <w:rPr>
          <w:rFonts w:eastAsia="Open Sans" w:cs="Open Sans" w:ascii="Open Sans" w:hAnsi="Open Sans"/>
          <w:sz w:val="22"/>
          <w:szCs w:val="22"/>
        </w:rPr>
        <w:t xml:space="preserve"> </w:t>
      </w: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odebíráním na předem vyhlášených přechodných stanovištích přímo do zvláštních</w:t>
      </w:r>
      <w:r>
        <w:rPr>
          <w:rFonts w:eastAsia="Open Sans" w:cs="Open Sans" w:ascii="Open Sans" w:hAnsi="Open Sans"/>
          <w:sz w:val="22"/>
          <w:szCs w:val="22"/>
        </w:rPr>
        <w:t xml:space="preserve"> </w:t>
      </w: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sběrných nádob k tomuto účelu určených. </w:t>
      </w:r>
      <w:r>
        <w:rPr>
          <w:rFonts w:eastAsia="Open Sans" w:cs="Open Sans" w:ascii="Open Sans" w:hAnsi="Open Sans"/>
          <w:sz w:val="22"/>
          <w:szCs w:val="22"/>
        </w:rPr>
        <w:t>Informace o svozu jsou zveřejňovány způsobem v místě obvyklým a na webových stránkách obce.</w:t>
      </w:r>
    </w:p>
    <w:p>
      <w:pPr>
        <w:pStyle w:val="LO-normal"/>
        <w:keepNext w:val="false"/>
        <w:keepLines w:val="false"/>
        <w:pageBreakBefore w:val="false"/>
        <w:widowControl w:val="false"/>
        <w:numPr>
          <w:ilvl w:val="0"/>
          <w:numId w:val="5"/>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Objemný odpad lze také odevzdávat ve sběrném dvoře, který je umístěn v </w:t>
      </w:r>
      <w:r>
        <w:rPr>
          <w:rFonts w:eastAsia="Open Sans" w:cs="Open Sans" w:ascii="Open Sans" w:hAnsi="Open Sans"/>
          <w:sz w:val="22"/>
          <w:szCs w:val="22"/>
        </w:rPr>
        <w:t>Hrotovicích - ulice Hladov, 675 55 Hrotovice.</w:t>
      </w:r>
    </w:p>
    <w:p>
      <w:pPr>
        <w:pStyle w:val="LO-normal"/>
        <w:keepNext w:val="false"/>
        <w:keepLines w:val="false"/>
        <w:pageBreakBefore w:val="false"/>
        <w:widowControl w:val="false"/>
        <w:numPr>
          <w:ilvl w:val="0"/>
          <w:numId w:val="5"/>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Soustřeďování objemného odpadu podléhá požadavkům stanoveným v čl. 3 odst. 4 a 5.  </w:t>
      </w:r>
    </w:p>
    <w:p>
      <w:pPr>
        <w:pStyle w:val="LO-normal"/>
        <w:keepNext w:val="false"/>
        <w:keepLines w:val="false"/>
        <w:pageBreakBefore w:val="false"/>
        <w:widowControl w:val="false"/>
        <w:shd w:val="clear" w:fill="auto"/>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47"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6 </w:t>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Soustřeďování směsného komunálního odpadu  </w:t>
      </w:r>
    </w:p>
    <w:p>
      <w:pPr>
        <w:pStyle w:val="LO-normal"/>
        <w:keepNext w:val="false"/>
        <w:keepLines w:val="false"/>
        <w:pageBreakBefore w:val="false"/>
        <w:widowControl w:val="false"/>
        <w:numPr>
          <w:ilvl w:val="0"/>
          <w:numId w:val="1"/>
        </w:numPr>
        <w:shd w:val="clear" w:fill="auto"/>
        <w:spacing w:lineRule="auto" w:line="228" w:before="249"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Směsný komunální odpad se odkládá do sběrných nádob. Pro účely této vyhlášky se  sběrnými nádobami rozuměj</w:t>
      </w:r>
      <w:r>
        <w:rPr>
          <w:rFonts w:eastAsia="Open Sans" w:cs="Open Sans" w:ascii="Open Sans" w:hAnsi="Open Sans"/>
          <w:sz w:val="22"/>
          <w:szCs w:val="22"/>
        </w:rPr>
        <w:t>í:</w:t>
      </w:r>
    </w:p>
    <w:p>
      <w:pPr>
        <w:pStyle w:val="LO-normal"/>
        <w:keepNext w:val="false"/>
        <w:keepLines w:val="false"/>
        <w:pageBreakBefore w:val="false"/>
        <w:widowControl w:val="false"/>
        <w:numPr>
          <w:ilvl w:val="0"/>
          <w:numId w:val="7"/>
        </w:numPr>
        <w:shd w:val="clear" w:fill="auto"/>
        <w:spacing w:lineRule="auto" w:line="240" w:before="20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popelnice, </w:t>
      </w:r>
    </w:p>
    <w:p>
      <w:pPr>
        <w:pStyle w:val="LO-normal"/>
        <w:keepNext w:val="false"/>
        <w:keepLines w:val="false"/>
        <w:pageBreakBefore w:val="false"/>
        <w:widowControl w:val="false"/>
        <w:numPr>
          <w:ilvl w:val="0"/>
          <w:numId w:val="7"/>
        </w:numPr>
        <w:shd w:val="clear" w:fill="auto"/>
        <w:spacing w:lineRule="auto" w:line="228"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velkoobjemové kontejnery,</w:t>
      </w:r>
    </w:p>
    <w:p>
      <w:pPr>
        <w:pStyle w:val="LO-normal"/>
        <w:keepNext w:val="false"/>
        <w:keepLines w:val="false"/>
        <w:pageBreakBefore w:val="false"/>
        <w:widowControl w:val="false"/>
        <w:numPr>
          <w:ilvl w:val="0"/>
          <w:numId w:val="7"/>
        </w:numPr>
        <w:shd w:val="clear" w:fill="auto"/>
        <w:spacing w:lineRule="auto" w:line="228" w:before="0" w:after="0"/>
        <w:ind w:left="1077" w:right="0" w:hanging="357"/>
        <w:jc w:val="both"/>
        <w:rPr>
          <w:sz w:val="22"/>
          <w:szCs w:val="22"/>
        </w:rPr>
      </w:pPr>
      <w:r>
        <w:rPr>
          <w:rFonts w:eastAsia="Open Sans" w:cs="Open Sans" w:ascii="Open Sans" w:hAnsi="Open Sans"/>
          <w:i/>
          <w:iCs/>
          <w:sz w:val="22"/>
          <w:szCs w:val="22"/>
        </w:rPr>
        <w:t xml:space="preserve">odpadkové koše, které jsou umístěny na veřejných prostranstvích v obci, sloužící pro  odkládání drobného směsného komunálního odpadu. </w:t>
      </w:r>
    </w:p>
    <w:p>
      <w:pPr>
        <w:pStyle w:val="LO-normal"/>
        <w:widowControl w:val="false"/>
        <w:numPr>
          <w:ilvl w:val="0"/>
          <w:numId w:val="1"/>
        </w:numPr>
        <w:spacing w:lineRule="auto" w:line="228" w:before="200" w:after="0"/>
        <w:ind w:left="357" w:right="0" w:hanging="357"/>
        <w:jc w:val="both"/>
        <w:rPr>
          <w:sz w:val="22"/>
          <w:szCs w:val="22"/>
        </w:rPr>
      </w:pPr>
      <w:r>
        <w:rPr>
          <w:rFonts w:eastAsia="Open Sans" w:cs="Open Sans" w:ascii="Open Sans" w:hAnsi="Open Sans"/>
          <w:sz w:val="22"/>
          <w:szCs w:val="22"/>
        </w:rPr>
        <w:t xml:space="preserve">Soustřeďování směsného komunálního odpadu podléhá požadavkům stanoveným  v čl. 3 odst. 4 a 5. </w:t>
      </w:r>
    </w:p>
    <w:p>
      <w:pPr>
        <w:pStyle w:val="LO-normal"/>
        <w:widowControl w:val="false"/>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widowControl w:val="false"/>
        <w:spacing w:lineRule="auto" w:line="228" w:before="200" w:after="0"/>
        <w:ind w:left="0"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widowControl w:val="false"/>
        <w:shd w:val="clear" w:fill="auto"/>
        <w:spacing w:lineRule="auto" w:line="240" w:before="259"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7 </w:t>
      </w:r>
    </w:p>
    <w:p>
      <w:pPr>
        <w:pStyle w:val="LO-normal"/>
        <w:keepNext w:val="false"/>
        <w:keepLines w:val="false"/>
        <w:pageBreakBefore w:val="false"/>
        <w:widowControl w:val="false"/>
        <w:shd w:val="clear" w:fill="auto"/>
        <w:spacing w:lineRule="auto" w:line="228"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Nakládání s komunálním odpadem vznikajícím na území obce při činnosti právnických  a podnikajících fyzických osob </w:t>
      </w:r>
    </w:p>
    <w:p>
      <w:pPr>
        <w:pStyle w:val="LO-normal"/>
        <w:keepNext w:val="false"/>
        <w:keepLines w:val="false"/>
        <w:pageBreakBefore w:val="false"/>
        <w:widowControl w:val="false"/>
        <w:numPr>
          <w:ilvl w:val="0"/>
          <w:numId w:val="11"/>
        </w:numPr>
        <w:shd w:val="clear" w:fill="auto"/>
        <w:spacing w:lineRule="auto" w:line="228" w:before="200" w:after="0"/>
        <w:ind w:left="357" w:right="0" w:hanging="357"/>
        <w:jc w:val="both"/>
        <w:rPr>
          <w:sz w:val="22"/>
          <w:szCs w:val="22"/>
        </w:rPr>
      </w:pPr>
      <w:r>
        <w:rPr>
          <w:rFonts w:eastAsia="Open Sans" w:cs="Open Sans" w:ascii="Open Sans" w:hAnsi="Open Sans"/>
          <w:sz w:val="22"/>
          <w:szCs w:val="22"/>
        </w:rPr>
        <w:t>Právnické a podnikající fyzické osoby zapojené do obecního systému na základě smlouvy předávají komunální odpad dle čl. 2 odst. 1 písm. a) až j) do zvláštních sběrných nádob k tomu určených v souladu s čl. 3 a čl. 6.</w:t>
      </w:r>
    </w:p>
    <w:p>
      <w:pPr>
        <w:pStyle w:val="LO-normal"/>
        <w:keepNext w:val="false"/>
        <w:keepLines w:val="false"/>
        <w:pageBreakBefore w:val="false"/>
        <w:widowControl w:val="false"/>
        <w:numPr>
          <w:ilvl w:val="0"/>
          <w:numId w:val="11"/>
        </w:numPr>
        <w:shd w:val="clear" w:fill="auto"/>
        <w:spacing w:lineRule="auto" w:line="228" w:before="200" w:after="0"/>
        <w:ind w:left="357" w:right="0" w:hanging="357"/>
        <w:jc w:val="both"/>
        <w:rPr>
          <w:sz w:val="22"/>
          <w:szCs w:val="22"/>
        </w:rPr>
      </w:pPr>
      <w:r>
        <w:rPr>
          <w:rFonts w:eastAsia="Open Sans" w:cs="Open Sans" w:ascii="Open Sans" w:hAnsi="Open Sans"/>
          <w:sz w:val="22"/>
          <w:szCs w:val="22"/>
        </w:rPr>
        <w:t>Výše úhrady za zapojení do obecního systému se stanoví na základě písemné smlouvy, a to podle ceníku schváleného zastupitelstvem obce.</w:t>
      </w:r>
    </w:p>
    <w:p>
      <w:pPr>
        <w:pStyle w:val="LO-normal"/>
        <w:keepNext w:val="false"/>
        <w:keepLines w:val="false"/>
        <w:pageBreakBefore w:val="false"/>
        <w:widowControl w:val="false"/>
        <w:numPr>
          <w:ilvl w:val="0"/>
          <w:numId w:val="11"/>
        </w:numPr>
        <w:shd w:val="clear" w:fill="auto"/>
        <w:spacing w:lineRule="auto" w:line="228" w:before="200" w:after="0"/>
        <w:ind w:left="357" w:right="0" w:hanging="357"/>
        <w:jc w:val="both"/>
        <w:rPr>
          <w:sz w:val="22"/>
          <w:szCs w:val="22"/>
        </w:rPr>
      </w:pPr>
      <w:r>
        <w:rPr>
          <w:rFonts w:eastAsia="Open Sans" w:cs="Open Sans" w:ascii="Open Sans" w:hAnsi="Open Sans"/>
          <w:sz w:val="22"/>
          <w:szCs w:val="22"/>
        </w:rPr>
        <w:t>Úhrada se vybírá jednorázově na základě uzavřené smlouvy, a to převodem na bankovní účet obce nebo v hotovosti na pokladně obecního úřadu v úředních hodinách.</w:t>
      </w:r>
    </w:p>
    <w:p>
      <w:pPr>
        <w:pStyle w:val="LO-normal"/>
        <w:keepNext w:val="false"/>
        <w:keepLines w:val="false"/>
        <w:pageBreakBefore w:val="false"/>
        <w:widowControl w:val="false"/>
        <w:shd w:val="clear" w:fill="auto"/>
        <w:spacing w:lineRule="auto" w:line="228" w:before="200" w:after="0"/>
        <w:ind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28" w:before="200" w:after="0"/>
        <w:ind w:right="0" w:hanging="0"/>
        <w:jc w:val="both"/>
        <w:rPr>
          <w:rFonts w:ascii="Open Sans" w:hAnsi="Open Sans" w:eastAsia="Open Sans" w:cs="Open Sans"/>
          <w:sz w:val="22"/>
          <w:szCs w:val="22"/>
        </w:rPr>
      </w:pPr>
      <w:r>
        <w:rPr>
          <w:rFonts w:eastAsia="Open Sans" w:cs="Open Sans" w:ascii="Open Sans" w:hAnsi="Open Sans"/>
          <w:sz w:val="22"/>
          <w:szCs w:val="22"/>
        </w:rPr>
      </w:r>
    </w:p>
    <w:p>
      <w:pPr>
        <w:pStyle w:val="LO-normal"/>
        <w:keepNext w:val="false"/>
        <w:keepLines w:val="false"/>
        <w:pageBreakBefore w:val="false"/>
        <w:widowControl w:val="false"/>
        <w:shd w:val="clear" w:fill="auto"/>
        <w:spacing w:lineRule="auto" w:line="240" w:before="26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Čl. 8 </w:t>
      </w:r>
    </w:p>
    <w:p>
      <w:pPr>
        <w:pStyle w:val="LO-normal"/>
        <w:keepNext w:val="false"/>
        <w:keepLines w:val="false"/>
        <w:pageBreakBefore w:val="false"/>
        <w:widowControl w:val="false"/>
        <w:shd w:val="clear" w:fill="auto"/>
        <w:spacing w:lineRule="auto" w:line="228"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Nakládání s výrobky s ukončenou životností v rámci služby pro výrobce (zpětný odběr) </w:t>
      </w:r>
    </w:p>
    <w:p>
      <w:pPr>
        <w:pStyle w:val="LO-normal"/>
        <w:keepNext w:val="false"/>
        <w:keepLines w:val="false"/>
        <w:pageBreakBefore w:val="false"/>
        <w:widowControl w:val="false"/>
        <w:numPr>
          <w:ilvl w:val="0"/>
          <w:numId w:val="3"/>
        </w:numPr>
        <w:shd w:val="clear" w:fill="auto"/>
        <w:spacing w:lineRule="auto" w:line="240"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Obec v rámci služby pro výrobce nakládá s těmito výrobky s ukončenou životností:  </w:t>
      </w:r>
    </w:p>
    <w:p>
      <w:pPr>
        <w:pStyle w:val="LO-normal"/>
        <w:keepNext w:val="false"/>
        <w:keepLines w:val="false"/>
        <w:pageBreakBefore w:val="false"/>
        <w:widowControl w:val="false"/>
        <w:numPr>
          <w:ilvl w:val="0"/>
          <w:numId w:val="13"/>
        </w:numPr>
        <w:shd w:val="clear" w:fill="auto"/>
        <w:spacing w:lineRule="auto" w:line="240" w:before="20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elektrozařízení </w:t>
      </w:r>
    </w:p>
    <w:p>
      <w:pPr>
        <w:pStyle w:val="LO-normal"/>
        <w:keepNext w:val="false"/>
        <w:keepLines w:val="false"/>
        <w:pageBreakBefore w:val="false"/>
        <w:widowControl w:val="false"/>
        <w:numPr>
          <w:ilvl w:val="0"/>
          <w:numId w:val="13"/>
        </w:numPr>
        <w:shd w:val="clear" w:fill="auto"/>
        <w:spacing w:lineRule="auto" w:line="240" w:before="0" w:after="0"/>
        <w:ind w:left="1077" w:right="0" w:hanging="357"/>
        <w:jc w:val="both"/>
        <w:rPr>
          <w:sz w:val="22"/>
          <w:szCs w:val="22"/>
        </w:rPr>
      </w:pPr>
      <w:r>
        <w:rPr>
          <w:rFonts w:eastAsia="Open Sans" w:cs="Open Sans" w:ascii="Open Sans" w:hAnsi="Open Sans"/>
          <w:i/>
          <w:iCs/>
          <w:caps w:val="false"/>
          <w:smallCaps w:val="false"/>
          <w:strike w:val="false"/>
          <w:dstrike w:val="false"/>
          <w:position w:val="0"/>
          <w:sz w:val="22"/>
          <w:sz w:val="22"/>
          <w:szCs w:val="22"/>
          <w:u w:val="none"/>
          <w:shd w:fill="auto" w:val="clear"/>
          <w:vertAlign w:val="baseline"/>
        </w:rPr>
        <w:t xml:space="preserve">baterie a akumulátory </w:t>
      </w:r>
    </w:p>
    <w:p>
      <w:pPr>
        <w:pStyle w:val="LO-normal"/>
        <w:keepNext w:val="false"/>
        <w:keepLines w:val="false"/>
        <w:pageBreakBefore w:val="false"/>
        <w:widowControl w:val="false"/>
        <w:numPr>
          <w:ilvl w:val="0"/>
          <w:numId w:val="3"/>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 xml:space="preserve">Výrobky s ukončenou životností uvedené v odst. 1 lze předávat </w:t>
      </w:r>
      <w:r>
        <w:rPr>
          <w:rFonts w:eastAsia="Open Sans" w:cs="Open Sans" w:ascii="Open Sans" w:hAnsi="Open Sans"/>
          <w:sz w:val="22"/>
          <w:szCs w:val="22"/>
        </w:rPr>
        <w:t>dvakrát ročně na předem vyhlášených přechodných stanovištích. Informace o svozu jsou zveřejňovány způsobem v místě obvyklým a na webových stránkách obce.</w:t>
      </w:r>
    </w:p>
    <w:p>
      <w:pPr>
        <w:pStyle w:val="LO-normal"/>
        <w:widowControl w:val="false"/>
        <w:numPr>
          <w:ilvl w:val="0"/>
          <w:numId w:val="3"/>
        </w:numPr>
        <w:spacing w:lineRule="auto" w:line="228" w:before="200" w:after="0"/>
        <w:ind w:left="357" w:right="0" w:hanging="357"/>
        <w:jc w:val="both"/>
        <w:rPr>
          <w:sz w:val="22"/>
          <w:szCs w:val="22"/>
        </w:rPr>
      </w:pPr>
      <w:r>
        <w:rPr>
          <w:rFonts w:eastAsia="Open Sans" w:cs="Open Sans" w:ascii="Open Sans" w:hAnsi="Open Sans"/>
          <w:sz w:val="22"/>
          <w:szCs w:val="22"/>
        </w:rPr>
        <w:t>Výrobky s ukončenou životností uvedené v odst. 1 lze také odevzdat ve sběrném dvoře, který je umístěn v Hrotovicích - ulice Hladov, 675 55 Hrotovice.</w:t>
      </w:r>
    </w:p>
    <w:p>
      <w:pPr>
        <w:pStyle w:val="LO-normal"/>
        <w:keepNext w:val="false"/>
        <w:keepLines w:val="false"/>
        <w:pageBreakBefore w:val="false"/>
        <w:widowControl w:val="false"/>
        <w:shd w:val="clear" w:fill="auto"/>
        <w:spacing w:lineRule="auto" w:line="240" w:before="0" w:after="0"/>
        <w:ind w:left="357" w:right="0" w:hanging="357"/>
        <w:jc w:val="both"/>
        <w:rPr>
          <w:rFonts w:ascii="Open Sans" w:hAnsi="Open Sans" w:eastAsia="Open Sans" w:cs="Open Sans"/>
          <w:b/>
          <w:bCs/>
          <w:sz w:val="22"/>
          <w:szCs w:val="22"/>
        </w:rPr>
      </w:pPr>
      <w:r>
        <w:rPr>
          <w:rFonts w:eastAsia="Open Sans" w:cs="Open Sans" w:ascii="Open Sans" w:hAnsi="Open Sans"/>
          <w:b/>
          <w:bCs/>
          <w:sz w:val="22"/>
          <w:szCs w:val="22"/>
        </w:rPr>
      </w:r>
    </w:p>
    <w:p>
      <w:pPr>
        <w:pStyle w:val="LO-normal"/>
        <w:keepNext w:val="false"/>
        <w:keepLines w:val="false"/>
        <w:pageBreakBefore w:val="false"/>
        <w:widowControl w:val="false"/>
        <w:shd w:val="clear" w:fill="auto"/>
        <w:spacing w:lineRule="auto" w:line="240" w:before="0" w:after="0"/>
        <w:ind w:left="357" w:right="0" w:hanging="357"/>
        <w:jc w:val="both"/>
        <w:rPr>
          <w:rFonts w:ascii="Open Sans" w:hAnsi="Open Sans" w:eastAsia="Open Sans" w:cs="Open Sans"/>
          <w:b/>
          <w:bCs/>
          <w:sz w:val="22"/>
          <w:szCs w:val="22"/>
        </w:rPr>
      </w:pPr>
      <w:r>
        <w:rPr>
          <w:rFonts w:eastAsia="Open Sans" w:cs="Open Sans" w:ascii="Open Sans" w:hAnsi="Open Sans"/>
          <w:b/>
          <w:bCs/>
          <w:sz w:val="22"/>
          <w:szCs w:val="22"/>
        </w:rPr>
      </w:r>
    </w:p>
    <w:p>
      <w:pPr>
        <w:pStyle w:val="LO-normal"/>
        <w:widowControl w:val="false"/>
        <w:spacing w:lineRule="auto" w:line="240" w:before="260" w:after="0"/>
        <w:ind w:left="357" w:hanging="0"/>
        <w:jc w:val="center"/>
        <w:rPr>
          <w:sz w:val="22"/>
          <w:szCs w:val="22"/>
        </w:rPr>
      </w:pPr>
      <w:r>
        <w:rPr>
          <w:rFonts w:eastAsia="Open Sans" w:cs="Open Sans" w:ascii="Open Sans" w:hAnsi="Open Sans"/>
          <w:b/>
          <w:bCs/>
          <w:sz w:val="22"/>
          <w:szCs w:val="22"/>
        </w:rPr>
        <w:t xml:space="preserve">Čl. 9 </w:t>
      </w:r>
    </w:p>
    <w:p>
      <w:pPr>
        <w:pStyle w:val="LO-normal"/>
        <w:widowControl w:val="false"/>
        <w:spacing w:lineRule="auto" w:line="228"/>
        <w:ind w:left="357" w:hanging="0"/>
        <w:jc w:val="center"/>
        <w:rPr>
          <w:sz w:val="22"/>
          <w:szCs w:val="22"/>
        </w:rPr>
      </w:pPr>
      <w:r>
        <w:rPr>
          <w:rFonts w:eastAsia="Open Sans" w:cs="Open Sans" w:ascii="Open Sans" w:hAnsi="Open Sans"/>
          <w:b/>
          <w:bCs/>
          <w:sz w:val="22"/>
          <w:szCs w:val="22"/>
        </w:rPr>
        <w:t>Nakládání se stavebním a demoličním odpadem</w:t>
      </w:r>
    </w:p>
    <w:p>
      <w:pPr>
        <w:pStyle w:val="LO-normal"/>
        <w:widowControl w:val="false"/>
        <w:numPr>
          <w:ilvl w:val="0"/>
          <w:numId w:val="6"/>
        </w:numPr>
        <w:spacing w:lineRule="auto" w:line="240" w:before="200" w:after="0"/>
        <w:ind w:left="357" w:hanging="357"/>
        <w:jc w:val="both"/>
        <w:rPr>
          <w:sz w:val="22"/>
          <w:szCs w:val="22"/>
        </w:rPr>
      </w:pPr>
      <w:r>
        <w:rPr>
          <w:rFonts w:eastAsia="Open Sans" w:cs="Open Sans" w:ascii="Open Sans" w:hAnsi="Open Sans"/>
          <w:sz w:val="22"/>
          <w:szCs w:val="22"/>
        </w:rPr>
        <w:t>Stavebním odpadem a demoličním odpadem se rozumí odpad vznikající při stavebních a demoličních činnostech nepodnikajících fyzických osob, které nepodléhají stavebnímu povolení ani ohlášení. Stavební a demoliční odpad není odpadem komunálním.</w:t>
      </w:r>
    </w:p>
    <w:p>
      <w:pPr>
        <w:pStyle w:val="LO-normal"/>
        <w:widowControl w:val="false"/>
        <w:numPr>
          <w:ilvl w:val="0"/>
          <w:numId w:val="6"/>
        </w:numPr>
        <w:spacing w:lineRule="auto" w:line="228" w:before="200" w:after="0"/>
        <w:ind w:left="357" w:hanging="357"/>
        <w:jc w:val="both"/>
        <w:rPr>
          <w:sz w:val="22"/>
          <w:szCs w:val="22"/>
        </w:rPr>
      </w:pPr>
      <w:r>
        <w:rPr>
          <w:rFonts w:eastAsia="Open Sans" w:cs="Open Sans" w:ascii="Open Sans" w:hAnsi="Open Sans"/>
          <w:sz w:val="22"/>
          <w:szCs w:val="22"/>
        </w:rPr>
        <w:t>Stavební a demoliční odpad uvedený v odst. 1 lze odevzdat ve sběrném dvoře, který je umístěn v Hrotovicích - ulice Hladov, 675 55 Hrotovice.</w:t>
      </w:r>
    </w:p>
    <w:p>
      <w:pPr>
        <w:pStyle w:val="LO-normal"/>
        <w:keepNext w:val="false"/>
        <w:keepLines w:val="false"/>
        <w:pageBreakBefore w:val="false"/>
        <w:widowControl w:val="false"/>
        <w:shd w:val="clear" w:fill="auto"/>
        <w:spacing w:lineRule="auto" w:line="240" w:before="0" w:after="0"/>
        <w:ind w:left="357" w:right="0" w:hanging="357"/>
        <w:jc w:val="both"/>
        <w:rPr>
          <w:rFonts w:ascii="Open Sans" w:hAnsi="Open Sans" w:eastAsia="Open Sans" w:cs="Open Sans"/>
          <w:b/>
          <w:bCs/>
          <w:sz w:val="22"/>
          <w:szCs w:val="22"/>
        </w:rPr>
      </w:pPr>
      <w:r>
        <w:rPr>
          <w:rFonts w:eastAsia="Open Sans" w:cs="Open Sans" w:ascii="Open Sans" w:hAnsi="Open Sans"/>
          <w:b/>
          <w:bCs/>
          <w:sz w:val="22"/>
          <w:szCs w:val="22"/>
        </w:rPr>
      </w:r>
    </w:p>
    <w:p>
      <w:pPr>
        <w:pStyle w:val="LO-normal"/>
        <w:keepNext w:val="false"/>
        <w:keepLines w:val="false"/>
        <w:pageBreakBefore w:val="false"/>
        <w:widowControl w:val="false"/>
        <w:shd w:val="clear" w:fill="auto"/>
        <w:spacing w:lineRule="auto" w:line="240" w:before="0" w:after="0"/>
        <w:ind w:left="357" w:right="0" w:hanging="357"/>
        <w:jc w:val="both"/>
        <w:rPr>
          <w:rFonts w:ascii="Open Sans" w:hAnsi="Open Sans" w:eastAsia="Open Sans" w:cs="Open Sans"/>
          <w:b/>
          <w:bCs/>
          <w:sz w:val="22"/>
          <w:szCs w:val="22"/>
        </w:rPr>
      </w:pPr>
      <w:r>
        <w:rPr>
          <w:rFonts w:eastAsia="Open Sans" w:cs="Open Sans" w:ascii="Open Sans" w:hAnsi="Open Sans"/>
          <w:b/>
          <w:bCs/>
          <w:sz w:val="22"/>
          <w:szCs w:val="22"/>
        </w:rPr>
      </w:r>
    </w:p>
    <w:p>
      <w:pPr>
        <w:pStyle w:val="LO-normal"/>
        <w:widowControl w:val="false"/>
        <w:shd w:val="clear" w:fill="auto"/>
        <w:spacing w:lineRule="auto" w:line="240" w:before="0" w:after="0"/>
        <w:ind w:left="357" w:right="0" w:hanging="357"/>
        <w:jc w:val="both"/>
        <w:rPr>
          <w:rFonts w:ascii="Open Sans" w:hAnsi="Open Sans" w:eastAsia="Open Sans" w:cs="Open Sans"/>
          <w:b/>
          <w:bCs/>
          <w:sz w:val="22"/>
          <w:szCs w:val="22"/>
        </w:rPr>
      </w:pPr>
      <w:r>
        <w:rPr>
          <w:rFonts w:eastAsia="Open Sans" w:cs="Open Sans" w:ascii="Open Sans" w:hAnsi="Open Sans"/>
          <w:b/>
          <w:bCs/>
          <w:sz w:val="22"/>
          <w:szCs w:val="22"/>
        </w:rPr>
      </w:r>
    </w:p>
    <w:p>
      <w:pPr>
        <w:pStyle w:val="LO-normal"/>
        <w:keepNext w:val="false"/>
        <w:keepLines w:val="false"/>
        <w:pageBreakBefore w:val="false"/>
        <w:widowControl w:val="false"/>
        <w:shd w:val="clear" w:fill="auto"/>
        <w:spacing w:lineRule="auto" w:line="240" w:before="269"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Čl.</w:t>
      </w:r>
      <w:r>
        <w:rPr>
          <w:rFonts w:eastAsia="Open Sans" w:cs="Open Sans" w:ascii="Open Sans" w:hAnsi="Open Sans"/>
          <w:b/>
          <w:bCs/>
          <w:sz w:val="22"/>
          <w:szCs w:val="22"/>
        </w:rPr>
        <w:t xml:space="preserve"> 10</w:t>
      </w:r>
    </w:p>
    <w:p>
      <w:pPr>
        <w:pStyle w:val="LO-normal"/>
        <w:keepNext w:val="false"/>
        <w:keepLines w:val="false"/>
        <w:pageBreakBefore w:val="false"/>
        <w:widowControl w:val="false"/>
        <w:shd w:val="clear" w:fill="auto"/>
        <w:spacing w:lineRule="auto" w:line="240" w:before="0" w:after="0"/>
        <w:ind w:left="357" w:right="0" w:hanging="357"/>
        <w:jc w:val="center"/>
        <w:rPr>
          <w:sz w:val="22"/>
          <w:szCs w:val="22"/>
        </w:rPr>
      </w:pPr>
      <w:r>
        <w:rPr>
          <w:rFonts w:eastAsia="Open Sans" w:cs="Open Sans" w:ascii="Open Sans" w:hAnsi="Open Sans"/>
          <w:b/>
          <w:bCs/>
          <w:i w:val="false"/>
          <w:iCs w:val="false"/>
          <w:caps w:val="false"/>
          <w:smallCaps w:val="false"/>
          <w:strike w:val="false"/>
          <w:dstrike w:val="false"/>
          <w:position w:val="0"/>
          <w:sz w:val="22"/>
          <w:sz w:val="22"/>
          <w:szCs w:val="22"/>
          <w:u w:val="none"/>
          <w:shd w:fill="auto" w:val="clear"/>
          <w:vertAlign w:val="baseline"/>
        </w:rPr>
        <w:t xml:space="preserve">Závěrečná ustanovení </w:t>
      </w:r>
    </w:p>
    <w:p>
      <w:pPr>
        <w:pStyle w:val="LO-normal"/>
        <w:keepNext w:val="false"/>
        <w:keepLines w:val="false"/>
        <w:pageBreakBefore w:val="false"/>
        <w:widowControl w:val="false"/>
        <w:numPr>
          <w:ilvl w:val="0"/>
          <w:numId w:val="9"/>
        </w:numPr>
        <w:shd w:val="clear" w:fill="auto"/>
        <w:spacing w:lineRule="auto" w:line="228" w:before="249" w:after="0"/>
        <w:ind w:left="357" w:right="0" w:hanging="357"/>
        <w:jc w:val="both"/>
        <w:rPr>
          <w:sz w:val="22"/>
          <w:szCs w:val="22"/>
        </w:rPr>
      </w:pPr>
      <w:r>
        <w:rPr>
          <w:rFonts w:eastAsia="Open Sans" w:cs="Open Sans" w:ascii="Open Sans" w:hAnsi="Open Sans"/>
          <w:sz w:val="22"/>
          <w:szCs w:val="22"/>
        </w:rPr>
        <w:t>Nabytím účinnosti této vyhlášky se zrušuje Obecně závazná vyhláška obce Biskupice-Pulkov č. 2/2021 o stanovení obecního systému odpadového hospodářství, schválená Zastupitelstvem obce Biskupice-Pulkov na zasedání dne 30. 12. 2021 usnesením č. 8.</w:t>
      </w:r>
    </w:p>
    <w:p>
      <w:pPr>
        <w:pStyle w:val="LO-normal"/>
        <w:keepNext w:val="false"/>
        <w:keepLines w:val="false"/>
        <w:pageBreakBefore w:val="false"/>
        <w:widowControl w:val="false"/>
        <w:numPr>
          <w:ilvl w:val="0"/>
          <w:numId w:val="9"/>
        </w:numPr>
        <w:shd w:val="clear" w:fill="auto"/>
        <w:spacing w:lineRule="auto" w:line="228" w:before="200" w:after="0"/>
        <w:ind w:left="357" w:right="0" w:hanging="357"/>
        <w:jc w:val="both"/>
        <w:rPr>
          <w:sz w:val="22"/>
          <w:szCs w:val="22"/>
        </w:rPr>
      </w:pPr>
      <w:r>
        <w:rPr>
          <w:rFonts w:eastAsia="Open Sans" w:cs="Open Sans" w:ascii="Open Sans" w:hAnsi="Open Sans"/>
          <w:i w:val="false"/>
          <w:iCs w:val="false"/>
          <w:caps w:val="false"/>
          <w:smallCaps w:val="false"/>
          <w:strike w:val="false"/>
          <w:dstrike w:val="false"/>
          <w:position w:val="0"/>
          <w:sz w:val="22"/>
          <w:sz w:val="22"/>
          <w:szCs w:val="22"/>
          <w:u w:val="none"/>
          <w:shd w:fill="auto" w:val="clear"/>
          <w:vertAlign w:val="baseline"/>
        </w:rPr>
        <w:t>Tato vyhláška nabývá účin</w:t>
      </w:r>
      <w:r>
        <w:rPr>
          <w:rFonts w:eastAsia="Open Sans" w:cs="Open Sans" w:ascii="Open Sans" w:hAnsi="Open Sans"/>
          <w:caps w:val="false"/>
          <w:smallCaps w:val="false"/>
          <w:strike w:val="false"/>
          <w:dstrike w:val="false"/>
          <w:position w:val="0"/>
          <w:sz w:val="22"/>
          <w:sz w:val="22"/>
          <w:szCs w:val="22"/>
          <w:u w:val="none"/>
          <w:shd w:fill="auto" w:val="clear"/>
          <w:vertAlign w:val="baseline"/>
        </w:rPr>
        <w:t>nosti patnáctým dnem po dni vyhlášen</w:t>
      </w:r>
      <w:r>
        <w:rPr>
          <w:rFonts w:eastAsia="Open Sans" w:cs="Open Sans" w:ascii="Open Sans" w:hAnsi="Open Sans"/>
          <w:sz w:val="22"/>
          <w:szCs w:val="22"/>
        </w:rPr>
        <w:t>í.</w:t>
      </w:r>
    </w:p>
    <w:p>
      <w:pPr>
        <w:pStyle w:val="LO-normal"/>
        <w:spacing w:lineRule="auto" w:line="264" w:before="120" w:after="0"/>
        <w:jc w:val="both"/>
        <w:rPr>
          <w:rFonts w:ascii="Open Sans" w:hAnsi="Open Sans" w:eastAsia="Open Sans" w:cs="Open Sans"/>
          <w:sz w:val="20"/>
          <w:szCs w:val="20"/>
        </w:rPr>
      </w:pPr>
      <w:r>
        <w:rPr>
          <w:rFonts w:eastAsia="Open Sans" w:cs="Open Sans" w:ascii="Open Sans" w:hAnsi="Open Sans"/>
          <w:sz w:val="20"/>
          <w:szCs w:val="20"/>
        </w:rPr>
      </w:r>
    </w:p>
    <w:p>
      <w:pPr>
        <w:pStyle w:val="LO-normal"/>
        <w:spacing w:lineRule="auto" w:line="264" w:before="120" w:after="0"/>
        <w:jc w:val="both"/>
        <w:rPr>
          <w:rFonts w:ascii="Open Sans" w:hAnsi="Open Sans" w:eastAsia="Open Sans" w:cs="Open Sans"/>
          <w:sz w:val="20"/>
          <w:szCs w:val="20"/>
        </w:rPr>
      </w:pPr>
      <w:r>
        <w:rPr>
          <w:rFonts w:eastAsia="Open Sans" w:cs="Open Sans" w:ascii="Open Sans" w:hAnsi="Open Sans"/>
          <w:sz w:val="20"/>
          <w:szCs w:val="20"/>
        </w:rPr>
      </w:r>
    </w:p>
    <w:p>
      <w:pPr>
        <w:pStyle w:val="LO-normal"/>
        <w:spacing w:lineRule="auto" w:line="264" w:before="120" w:after="0"/>
        <w:jc w:val="both"/>
        <w:rPr>
          <w:rFonts w:ascii="Open Sans" w:hAnsi="Open Sans" w:eastAsia="Open Sans" w:cs="Open Sans"/>
          <w:sz w:val="20"/>
          <w:szCs w:val="20"/>
        </w:rPr>
      </w:pPr>
      <w:r>
        <w:rPr>
          <w:rFonts w:eastAsia="Open Sans" w:cs="Open Sans" w:ascii="Open Sans" w:hAnsi="Open Sans"/>
          <w:sz w:val="20"/>
          <w:szCs w:val="20"/>
        </w:rPr>
      </w:r>
    </w:p>
    <w:p>
      <w:pPr>
        <w:pStyle w:val="LO-normal"/>
        <w:spacing w:lineRule="auto" w:line="264" w:before="120" w:after="0"/>
        <w:jc w:val="both"/>
        <w:rPr>
          <w:rFonts w:ascii="Open Sans" w:hAnsi="Open Sans" w:eastAsia="Open Sans" w:cs="Open Sans"/>
          <w:sz w:val="20"/>
          <w:szCs w:val="20"/>
        </w:rPr>
      </w:pPr>
      <w:r>
        <w:rPr>
          <w:rFonts w:eastAsia="Open Sans" w:cs="Open Sans" w:ascii="Open Sans" w:hAnsi="Open Sans"/>
          <w:sz w:val="20"/>
          <w:szCs w:val="20"/>
        </w:rPr>
      </w:r>
    </w:p>
    <w:p>
      <w:pPr>
        <w:sectPr>
          <w:footerReference w:type="default" r:id="rId2"/>
          <w:type w:val="nextPage"/>
          <w:pgSz w:w="11906" w:h="16838"/>
          <w:pgMar w:left="995" w:right="1355" w:gutter="0" w:header="0" w:top="1402" w:footer="720" w:bottom="1040"/>
          <w:pgNumType w:start="1" w:fmt="decimal"/>
          <w:formProt w:val="false"/>
          <w:textDirection w:val="lrTb"/>
          <w:docGrid w:type="default" w:linePitch="100" w:charSpace="4096"/>
        </w:sectPr>
      </w:pP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sz w:val="20"/>
          <w:szCs w:val="20"/>
        </w:rPr>
      </w:pPr>
      <w:r>
        <w:rPr>
          <w:rFonts w:eastAsia="Open Sans" w:cs="Open Sans" w:ascii="Open Sans" w:hAnsi="Open Sans"/>
          <w:sz w:val="20"/>
          <w:szCs w:val="20"/>
        </w:rPr>
        <w:t>..........................................</w:t>
      </w:r>
    </w:p>
    <w:p>
      <w:pPr>
        <w:pStyle w:val="LO-normal"/>
        <w:tabs>
          <w:tab w:val="clear" w:pos="720"/>
          <w:tab w:val="left" w:pos="1440" w:leader="none"/>
          <w:tab w:val="left" w:pos="7020" w:leader="none"/>
        </w:tabs>
        <w:spacing w:lineRule="auto" w:line="264"/>
        <w:jc w:val="center"/>
        <w:rPr>
          <w:sz w:val="20"/>
          <w:szCs w:val="20"/>
        </w:rPr>
      </w:pPr>
      <w:r>
        <w:rPr>
          <w:rFonts w:eastAsia="Open Sans" w:cs="Open Sans" w:ascii="Open Sans" w:hAnsi="Open Sans"/>
          <w:sz w:val="20"/>
          <w:szCs w:val="20"/>
        </w:rPr>
        <w:t>starosta</w:t>
      </w:r>
    </w:p>
    <w:p>
      <w:pPr>
        <w:pStyle w:val="LO-normal"/>
        <w:tabs>
          <w:tab w:val="clear" w:pos="720"/>
          <w:tab w:val="left" w:pos="1440" w:leader="none"/>
          <w:tab w:val="left" w:pos="7020" w:leader="none"/>
        </w:tabs>
        <w:spacing w:lineRule="auto" w:line="264"/>
        <w:jc w:val="center"/>
        <w:rPr>
          <w:sz w:val="20"/>
          <w:szCs w:val="20"/>
        </w:rPr>
      </w:pPr>
      <w:r>
        <w:rPr>
          <w:rFonts w:eastAsia="Open Sans" w:cs="Open Sans" w:ascii="Open Sans" w:hAnsi="Open Sans"/>
          <w:sz w:val="20"/>
          <w:szCs w:val="20"/>
        </w:rPr>
        <w:t>Petr Řezáč</w:t>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rFonts w:ascii="Open Sans" w:hAnsi="Open Sans" w:eastAsia="Open Sans" w:cs="Open Sans"/>
          <w:sz w:val="20"/>
          <w:szCs w:val="20"/>
        </w:rPr>
      </w:pPr>
      <w:r>
        <w:rPr>
          <w:rFonts w:eastAsia="Open Sans" w:cs="Open Sans" w:ascii="Open Sans" w:hAnsi="Open Sans"/>
          <w:sz w:val="20"/>
          <w:szCs w:val="20"/>
        </w:rPr>
      </w:r>
    </w:p>
    <w:p>
      <w:pPr>
        <w:pStyle w:val="LO-normal"/>
        <w:tabs>
          <w:tab w:val="clear" w:pos="720"/>
          <w:tab w:val="left" w:pos="1440" w:leader="none"/>
          <w:tab w:val="left" w:pos="7020" w:leader="none"/>
        </w:tabs>
        <w:spacing w:lineRule="auto" w:line="264"/>
        <w:jc w:val="center"/>
        <w:rPr>
          <w:sz w:val="20"/>
          <w:szCs w:val="20"/>
        </w:rPr>
      </w:pPr>
      <w:r>
        <w:rPr>
          <w:rFonts w:eastAsia="Open Sans" w:cs="Open Sans" w:ascii="Open Sans" w:hAnsi="Open Sans"/>
          <w:sz w:val="20"/>
          <w:szCs w:val="20"/>
        </w:rPr>
        <w:t>..........................................</w:t>
      </w:r>
    </w:p>
    <w:p>
      <w:pPr>
        <w:pStyle w:val="LO-normal"/>
        <w:tabs>
          <w:tab w:val="clear" w:pos="720"/>
          <w:tab w:val="left" w:pos="1440" w:leader="none"/>
          <w:tab w:val="left" w:pos="7020" w:leader="none"/>
        </w:tabs>
        <w:spacing w:lineRule="auto" w:line="264"/>
        <w:jc w:val="center"/>
        <w:rPr>
          <w:sz w:val="20"/>
          <w:szCs w:val="20"/>
        </w:rPr>
      </w:pPr>
      <w:r>
        <w:rPr>
          <w:rFonts w:eastAsia="Open Sans" w:cs="Open Sans" w:ascii="Open Sans" w:hAnsi="Open Sans"/>
          <w:sz w:val="20"/>
          <w:szCs w:val="20"/>
        </w:rPr>
        <w:t>místostarosta</w:t>
      </w:r>
    </w:p>
    <w:p>
      <w:pPr>
        <w:pStyle w:val="LO-normal"/>
        <w:tabs>
          <w:tab w:val="clear" w:pos="720"/>
          <w:tab w:val="left" w:pos="1080" w:leader="none"/>
          <w:tab w:val="left" w:pos="7020" w:leader="none"/>
        </w:tabs>
        <w:spacing w:lineRule="auto" w:line="264"/>
        <w:jc w:val="center"/>
        <w:rPr>
          <w:sz w:val="20"/>
          <w:szCs w:val="20"/>
        </w:rPr>
      </w:pPr>
      <w:r>
        <w:rPr>
          <w:rFonts w:eastAsia="Open Sans" w:cs="Open Sans" w:ascii="Open Sans" w:hAnsi="Open Sans"/>
          <w:sz w:val="20"/>
          <w:szCs w:val="20"/>
        </w:rPr>
        <w:t>Bohumil Mencák</w:t>
      </w:r>
    </w:p>
    <w:p>
      <w:pPr>
        <w:pStyle w:val="LO-normal"/>
        <w:keepNext w:val="false"/>
        <w:keepLines w:val="false"/>
        <w:pageBreakBefore w:val="false"/>
        <w:widowControl w:val="false"/>
        <w:shd w:val="clear" w:fill="auto"/>
        <w:spacing w:lineRule="auto" w:line="240" w:before="0" w:after="0"/>
        <w:ind w:left="433" w:right="0" w:hanging="0"/>
        <w:jc w:val="left"/>
        <w:rPr>
          <w:rFonts w:ascii="Open Sans" w:hAnsi="Open Sans" w:eastAsia="Open Sans" w:cs="Open Sans"/>
        </w:rPr>
      </w:pPr>
      <w:r>
        <w:rPr>
          <w:rFonts w:eastAsia="Open Sans" w:cs="Open Sans" w:ascii="Open Sans" w:hAnsi="Open Sans"/>
        </w:rPr>
      </w:r>
    </w:p>
    <w:p>
      <w:pPr>
        <w:pStyle w:val="LO-normal"/>
        <w:keepNext w:val="false"/>
        <w:keepLines w:val="false"/>
        <w:pageBreakBefore w:val="false"/>
        <w:widowControl w:val="false"/>
        <w:shd w:val="clear" w:fill="auto"/>
        <w:spacing w:lineRule="auto" w:line="240" w:before="0" w:after="0"/>
        <w:ind w:left="0" w:right="0" w:hanging="0"/>
        <w:jc w:val="left"/>
        <w:rPr>
          <w:rFonts w:ascii="Open Sans" w:hAnsi="Open Sans" w:eastAsia="Open Sans" w:cs="Open Sans"/>
        </w:rPr>
      </w:pPr>
      <w:r>
        <w:rPr/>
      </w:r>
    </w:p>
    <w:sectPr>
      <w:type w:val="continuous"/>
      <w:pgSz w:w="11906" w:h="16838"/>
      <w:pgMar w:left="995" w:right="1355" w:gutter="0" w:header="0" w:top="1402" w:footer="720" w:bottom="1040"/>
      <w:cols w:num="2" w:space="720" w:equalWidth="true" w:sep="false"/>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ee"/>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ee"/>
    <w:family w:val="roman"/>
    <w:pitch w:val="variable"/>
  </w:font>
  <w:font w:name="Liberation Sans">
    <w:altName w:val="Arial"/>
    <w:charset w:val="ee"/>
    <w:family w:val="roman"/>
    <w:pitch w:val="variable"/>
  </w:font>
  <w:font w:name="Georgia">
    <w:charset w:val="ee"/>
    <w:family w:val="roman"/>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Open Sans">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jc w:val="right"/>
      <w:rPr>
        <w:rFonts w:ascii="Open Sans" w:hAnsi="Open Sans" w:eastAsia="Open Sans" w:cs="Open Sans"/>
        <w:sz w:val="20"/>
        <w:szCs w:val="20"/>
      </w:rPr>
    </w:pPr>
    <w:r>
      <w:rPr/>
      <w:fldChar w:fldCharType="begin"/>
    </w:r>
    <w:r>
      <w:rPr/>
      <w:instrText xml:space="preserve"> PAGE </w:instrText>
    </w:r>
    <w:r>
      <w:rPr/>
      <w:fldChar w:fldCharType="separate"/>
    </w:r>
    <w:r>
      <w:rPr/>
      <w:t>4</w:t>
    </w:r>
    <w:r>
      <w:rPr/>
      <w:fldChar w:fldCharType="end"/>
    </w:r>
    <w:r>
      <w:rPr>
        <w:rFonts w:eastAsia="Open Sans" w:cs="Open Sans" w:ascii="Open Sans" w:hAnsi="Open Sans"/>
        <w:sz w:val="20"/>
        <w:szCs w:val="20"/>
      </w:rPr>
      <w:t>/</w:t>
    </w:r>
    <w:r>
      <w:rPr/>
      <w:fldChar w:fldCharType="begin"/>
    </w:r>
    <w:r>
      <w:rPr/>
      <w:instrText xml:space="preserve"> NUMPAGES </w:instrText>
    </w:r>
    <w:r>
      <w:rPr/>
      <w:fldChar w:fldCharType="separate"/>
    </w:r>
    <w:r>
      <w:rPr/>
      <w:t>4</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6">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7">
    <w:lvl w:ilvl="0">
      <w:start w:val="1"/>
      <w:numFmt w:val="lowerLetter"/>
      <w:lvlText w:val="%1)"/>
      <w:lvlJc w:val="left"/>
      <w:pPr>
        <w:tabs>
          <w:tab w:val="num" w:pos="0"/>
        </w:tabs>
        <w:ind w:left="2160" w:hanging="360"/>
      </w:pPr>
      <w:rPr>
        <w:u w:val="none"/>
      </w:rPr>
    </w:lvl>
    <w:lvl w:ilvl="1">
      <w:start w:val="1"/>
      <w:numFmt w:val="lowerRoman"/>
      <w:lvlText w:val="%2)"/>
      <w:lvlJc w:val="right"/>
      <w:pPr>
        <w:tabs>
          <w:tab w:val="num" w:pos="0"/>
        </w:tabs>
        <w:ind w:left="2880" w:hanging="360"/>
      </w:pPr>
      <w:rPr>
        <w:u w:val="none"/>
      </w:rPr>
    </w:lvl>
    <w:lvl w:ilvl="2">
      <w:start w:val="1"/>
      <w:numFmt w:val="decimal"/>
      <w:lvlText w:val="%3)"/>
      <w:lvlJc w:val="left"/>
      <w:pPr>
        <w:tabs>
          <w:tab w:val="num" w:pos="0"/>
        </w:tabs>
        <w:ind w:left="3600" w:hanging="360"/>
      </w:pPr>
      <w:rPr>
        <w:u w:val="none"/>
      </w:rPr>
    </w:lvl>
    <w:lvl w:ilvl="3">
      <w:start w:val="1"/>
      <w:numFmt w:val="lowerLetter"/>
      <w:lvlText w:val="(%4)"/>
      <w:lvlJc w:val="left"/>
      <w:pPr>
        <w:tabs>
          <w:tab w:val="num" w:pos="0"/>
        </w:tabs>
        <w:ind w:left="4320" w:hanging="360"/>
      </w:pPr>
      <w:rPr>
        <w:u w:val="none"/>
      </w:rPr>
    </w:lvl>
    <w:lvl w:ilvl="4">
      <w:start w:val="1"/>
      <w:numFmt w:val="lowerRoman"/>
      <w:lvlText w:val="(%5)"/>
      <w:lvlJc w:val="right"/>
      <w:pPr>
        <w:tabs>
          <w:tab w:val="num" w:pos="0"/>
        </w:tabs>
        <w:ind w:left="5040" w:hanging="360"/>
      </w:pPr>
      <w:rPr>
        <w:u w:val="none"/>
      </w:rPr>
    </w:lvl>
    <w:lvl w:ilvl="5">
      <w:start w:val="1"/>
      <w:numFmt w:val="decimal"/>
      <w:lvlText w:val="(%6)"/>
      <w:lvlJc w:val="left"/>
      <w:pPr>
        <w:tabs>
          <w:tab w:val="num" w:pos="0"/>
        </w:tabs>
        <w:ind w:left="5760" w:hanging="360"/>
      </w:pPr>
      <w:rPr>
        <w:u w:val="none"/>
      </w:rPr>
    </w:lvl>
    <w:lvl w:ilvl="6">
      <w:start w:val="1"/>
      <w:numFmt w:val="lowerLetter"/>
      <w:lvlText w:val="%7."/>
      <w:lvlJc w:val="left"/>
      <w:pPr>
        <w:tabs>
          <w:tab w:val="num" w:pos="0"/>
        </w:tabs>
        <w:ind w:left="6480" w:hanging="360"/>
      </w:pPr>
      <w:rPr>
        <w:u w:val="none"/>
      </w:rPr>
    </w:lvl>
    <w:lvl w:ilvl="7">
      <w:start w:val="1"/>
      <w:numFmt w:val="lowerRoman"/>
      <w:lvlText w:val="%8."/>
      <w:lvlJc w:val="right"/>
      <w:pPr>
        <w:tabs>
          <w:tab w:val="num" w:pos="0"/>
        </w:tabs>
        <w:ind w:left="7200" w:hanging="360"/>
      </w:pPr>
      <w:rPr>
        <w:u w:val="none"/>
      </w:rPr>
    </w:lvl>
    <w:lvl w:ilvl="8">
      <w:start w:val="1"/>
      <w:numFmt w:val="decimal"/>
      <w:lvlText w:val="%9."/>
      <w:lvlJc w:val="left"/>
      <w:pPr>
        <w:tabs>
          <w:tab w:val="num" w:pos="0"/>
        </w:tabs>
        <w:ind w:left="7920" w:hanging="360"/>
      </w:pPr>
      <w:rPr>
        <w:u w:val="none"/>
      </w:rPr>
    </w:lvl>
  </w:abstractNum>
  <w:abstractNum w:abstractNumId="8">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0">
    <w:lvl w:ilvl="0">
      <w:start w:val="1"/>
      <w:numFmt w:val="lowerLetter"/>
      <w:lvlText w:val="%1)"/>
      <w:lvlJc w:val="left"/>
      <w:pPr>
        <w:tabs>
          <w:tab w:val="num" w:pos="0"/>
        </w:tabs>
        <w:ind w:left="1440" w:hanging="360"/>
      </w:pPr>
      <w:rPr>
        <w:u w:val="none"/>
      </w:rPr>
    </w:lvl>
    <w:lvl w:ilvl="1">
      <w:start w:val="1"/>
      <w:numFmt w:val="lowerRoman"/>
      <w:lvlText w:val="%2)"/>
      <w:lvlJc w:val="right"/>
      <w:pPr>
        <w:tabs>
          <w:tab w:val="num" w:pos="0"/>
        </w:tabs>
        <w:ind w:left="2160" w:hanging="360"/>
      </w:pPr>
      <w:rPr>
        <w:u w:val="none"/>
      </w:rPr>
    </w:lvl>
    <w:lvl w:ilvl="2">
      <w:start w:val="1"/>
      <w:numFmt w:val="decimal"/>
      <w:lvlText w:val="%3)"/>
      <w:lvlJc w:val="left"/>
      <w:pPr>
        <w:tabs>
          <w:tab w:val="num" w:pos="0"/>
        </w:tabs>
        <w:ind w:left="2880" w:hanging="360"/>
      </w:pPr>
      <w:rPr>
        <w:u w:val="none"/>
      </w:rPr>
    </w:lvl>
    <w:lvl w:ilvl="3">
      <w:start w:val="1"/>
      <w:numFmt w:val="lowerLetter"/>
      <w:lvlText w:val="(%4)"/>
      <w:lvlJc w:val="left"/>
      <w:pPr>
        <w:tabs>
          <w:tab w:val="num" w:pos="0"/>
        </w:tabs>
        <w:ind w:left="3600" w:hanging="360"/>
      </w:pPr>
      <w:rPr>
        <w:u w:val="none"/>
      </w:rPr>
    </w:lvl>
    <w:lvl w:ilvl="4">
      <w:start w:val="1"/>
      <w:numFmt w:val="lowerRoman"/>
      <w:lvlText w:val="(%5)"/>
      <w:lvlJc w:val="right"/>
      <w:pPr>
        <w:tabs>
          <w:tab w:val="num" w:pos="0"/>
        </w:tabs>
        <w:ind w:left="4320" w:hanging="360"/>
      </w:pPr>
      <w:rPr>
        <w:u w:val="none"/>
      </w:rPr>
    </w:lvl>
    <w:lvl w:ilvl="5">
      <w:start w:val="1"/>
      <w:numFmt w:val="decimal"/>
      <w:lvlText w:val="(%6)"/>
      <w:lvlJc w:val="left"/>
      <w:pPr>
        <w:tabs>
          <w:tab w:val="num" w:pos="0"/>
        </w:tabs>
        <w:ind w:left="5040" w:hanging="360"/>
      </w:pPr>
      <w:rPr>
        <w:u w:val="none"/>
      </w:rPr>
    </w:lvl>
    <w:lvl w:ilvl="6">
      <w:start w:val="1"/>
      <w:numFmt w:val="lowerLetter"/>
      <w:lvlText w:val="%7."/>
      <w:lvlJc w:val="left"/>
      <w:pPr>
        <w:tabs>
          <w:tab w:val="num" w:pos="0"/>
        </w:tabs>
        <w:ind w:left="5760" w:hanging="360"/>
      </w:pPr>
      <w:rPr>
        <w:u w:val="none"/>
      </w:rPr>
    </w:lvl>
    <w:lvl w:ilvl="7">
      <w:start w:val="1"/>
      <w:numFmt w:val="lowerRoman"/>
      <w:lvlText w:val="%8."/>
      <w:lvlJc w:val="right"/>
      <w:pPr>
        <w:tabs>
          <w:tab w:val="num" w:pos="0"/>
        </w:tabs>
        <w:ind w:left="6480" w:hanging="360"/>
      </w:pPr>
      <w:rPr>
        <w:u w:val="none"/>
      </w:rPr>
    </w:lvl>
    <w:lvl w:ilvl="8">
      <w:start w:val="1"/>
      <w:numFmt w:val="decimal"/>
      <w:lvlText w:val="%9."/>
      <w:lvlJc w:val="left"/>
      <w:pPr>
        <w:tabs>
          <w:tab w:val="num" w:pos="0"/>
        </w:tabs>
        <w:ind w:left="7200" w:hanging="360"/>
      </w:pPr>
      <w:rPr>
        <w:u w:val="none"/>
      </w:rPr>
    </w:lvl>
  </w:abstractNum>
  <w:abstractNum w:abstractNumId="1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13">
    <w:lvl w:ilvl="0">
      <w:start w:val="1"/>
      <w:numFmt w:val="lowerLetter"/>
      <w:lvlText w:val="%1)"/>
      <w:lvlJc w:val="left"/>
      <w:pPr>
        <w:tabs>
          <w:tab w:val="num" w:pos="0"/>
        </w:tabs>
        <w:ind w:left="2160" w:hanging="360"/>
      </w:pPr>
      <w:rPr>
        <w:u w:val="none"/>
      </w:rPr>
    </w:lvl>
    <w:lvl w:ilvl="1">
      <w:start w:val="1"/>
      <w:numFmt w:val="lowerRoman"/>
      <w:lvlText w:val="%2)"/>
      <w:lvlJc w:val="right"/>
      <w:pPr>
        <w:tabs>
          <w:tab w:val="num" w:pos="0"/>
        </w:tabs>
        <w:ind w:left="2880" w:hanging="360"/>
      </w:pPr>
      <w:rPr>
        <w:u w:val="none"/>
      </w:rPr>
    </w:lvl>
    <w:lvl w:ilvl="2">
      <w:start w:val="1"/>
      <w:numFmt w:val="decimal"/>
      <w:lvlText w:val="%3)"/>
      <w:lvlJc w:val="left"/>
      <w:pPr>
        <w:tabs>
          <w:tab w:val="num" w:pos="0"/>
        </w:tabs>
        <w:ind w:left="3600" w:hanging="360"/>
      </w:pPr>
      <w:rPr>
        <w:u w:val="none"/>
      </w:rPr>
    </w:lvl>
    <w:lvl w:ilvl="3">
      <w:start w:val="1"/>
      <w:numFmt w:val="lowerLetter"/>
      <w:lvlText w:val="(%4)"/>
      <w:lvlJc w:val="left"/>
      <w:pPr>
        <w:tabs>
          <w:tab w:val="num" w:pos="0"/>
        </w:tabs>
        <w:ind w:left="4320" w:hanging="360"/>
      </w:pPr>
      <w:rPr>
        <w:u w:val="none"/>
      </w:rPr>
    </w:lvl>
    <w:lvl w:ilvl="4">
      <w:start w:val="1"/>
      <w:numFmt w:val="lowerRoman"/>
      <w:lvlText w:val="(%5)"/>
      <w:lvlJc w:val="right"/>
      <w:pPr>
        <w:tabs>
          <w:tab w:val="num" w:pos="0"/>
        </w:tabs>
        <w:ind w:left="5040" w:hanging="360"/>
      </w:pPr>
      <w:rPr>
        <w:u w:val="none"/>
      </w:rPr>
    </w:lvl>
    <w:lvl w:ilvl="5">
      <w:start w:val="1"/>
      <w:numFmt w:val="decimal"/>
      <w:lvlText w:val="(%6)"/>
      <w:lvlJc w:val="left"/>
      <w:pPr>
        <w:tabs>
          <w:tab w:val="num" w:pos="0"/>
        </w:tabs>
        <w:ind w:left="5760" w:hanging="360"/>
      </w:pPr>
      <w:rPr>
        <w:u w:val="none"/>
      </w:rPr>
    </w:lvl>
    <w:lvl w:ilvl="6">
      <w:start w:val="1"/>
      <w:numFmt w:val="lowerLetter"/>
      <w:lvlText w:val="%7."/>
      <w:lvlJc w:val="left"/>
      <w:pPr>
        <w:tabs>
          <w:tab w:val="num" w:pos="0"/>
        </w:tabs>
        <w:ind w:left="6480" w:hanging="360"/>
      </w:pPr>
      <w:rPr>
        <w:u w:val="none"/>
      </w:rPr>
    </w:lvl>
    <w:lvl w:ilvl="7">
      <w:start w:val="1"/>
      <w:numFmt w:val="lowerRoman"/>
      <w:lvlText w:val="%8."/>
      <w:lvlJc w:val="right"/>
      <w:pPr>
        <w:tabs>
          <w:tab w:val="num" w:pos="0"/>
        </w:tabs>
        <w:ind w:left="7200" w:hanging="360"/>
      </w:pPr>
      <w:rPr>
        <w:u w:val="none"/>
      </w:rPr>
    </w:lvl>
    <w:lvl w:ilvl="8">
      <w:start w:val="1"/>
      <w:numFmt w:val="decimal"/>
      <w:lvlText w:val="%9."/>
      <w:lvlJc w:val="left"/>
      <w:pPr>
        <w:tabs>
          <w:tab w:val="num" w:pos="0"/>
        </w:tabs>
        <w:ind w:left="7920" w:hanging="360"/>
      </w:pPr>
      <w:rPr>
        <w:u w:val="none"/>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cs-CZ"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adpis1">
    <w:name w:val="Heading 1"/>
    <w:basedOn w:val="LO-normal"/>
    <w:next w:val="LO-normal"/>
    <w:qFormat/>
    <w:pPr>
      <w:keepNext w:val="true"/>
      <w:keepLines/>
      <w:pageBreakBefore w:val="false"/>
      <w:spacing w:lineRule="auto" w:line="240" w:before="480" w:after="120"/>
    </w:pPr>
    <w:rPr>
      <w:b/>
      <w:bCs/>
      <w:sz w:val="48"/>
      <w:szCs w:val="48"/>
    </w:rPr>
  </w:style>
  <w:style w:type="paragraph" w:styleId="Nadpis2">
    <w:name w:val="Heading 2"/>
    <w:basedOn w:val="LO-normal"/>
    <w:next w:val="LO-normal"/>
    <w:qFormat/>
    <w:pPr>
      <w:keepNext w:val="true"/>
      <w:keepLines/>
      <w:pageBreakBefore w:val="false"/>
      <w:spacing w:lineRule="auto" w:line="240" w:before="360" w:after="80"/>
    </w:pPr>
    <w:rPr>
      <w:b/>
      <w:bCs/>
      <w:sz w:val="36"/>
      <w:szCs w:val="36"/>
    </w:rPr>
  </w:style>
  <w:style w:type="paragraph" w:styleId="Nadpis3">
    <w:name w:val="Heading 3"/>
    <w:basedOn w:val="LO-normal"/>
    <w:next w:val="LO-normal"/>
    <w:qFormat/>
    <w:pPr>
      <w:keepNext w:val="true"/>
      <w:keepLines/>
      <w:pageBreakBefore w:val="false"/>
      <w:spacing w:lineRule="auto" w:line="240" w:before="280" w:after="80"/>
    </w:pPr>
    <w:rPr>
      <w:b/>
      <w:bCs/>
      <w:sz w:val="28"/>
      <w:szCs w:val="28"/>
    </w:rPr>
  </w:style>
  <w:style w:type="paragraph" w:styleId="Nadpis4">
    <w:name w:val="Heading 4"/>
    <w:basedOn w:val="LO-normal"/>
    <w:next w:val="LO-normal"/>
    <w:qFormat/>
    <w:pPr>
      <w:keepNext w:val="true"/>
      <w:keepLines/>
      <w:pageBreakBefore w:val="false"/>
      <w:spacing w:lineRule="auto" w:line="240" w:before="240" w:after="40"/>
    </w:pPr>
    <w:rPr>
      <w:b/>
      <w:bCs/>
      <w:sz w:val="24"/>
      <w:szCs w:val="24"/>
    </w:rPr>
  </w:style>
  <w:style w:type="paragraph" w:styleId="Nadpis5">
    <w:name w:val="Heading 5"/>
    <w:basedOn w:val="LO-normal"/>
    <w:next w:val="LO-normal"/>
    <w:qFormat/>
    <w:pPr>
      <w:keepNext w:val="true"/>
      <w:keepLines/>
      <w:pageBreakBefore w:val="false"/>
      <w:spacing w:lineRule="auto" w:line="240" w:before="220" w:after="40"/>
    </w:pPr>
    <w:rPr>
      <w:b/>
      <w:bCs/>
      <w:sz w:val="22"/>
      <w:szCs w:val="22"/>
    </w:rPr>
  </w:style>
  <w:style w:type="paragraph" w:styleId="Nadpis6">
    <w:name w:val="Heading 6"/>
    <w:basedOn w:val="LO-normal"/>
    <w:next w:val="LO-normal"/>
    <w:qFormat/>
    <w:pPr>
      <w:keepNext w:val="true"/>
      <w:keepLines/>
      <w:pageBreakBefore w:val="false"/>
      <w:spacing w:lineRule="auto" w:line="240" w:before="200" w:after="40"/>
    </w:pPr>
    <w:rPr>
      <w:b/>
      <w:bCs/>
      <w:sz w:val="20"/>
      <w:szCs w:val="20"/>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lineRule="auto" w:line="276" w:before="0" w:after="14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cs-CZ" w:eastAsia="zh-CN" w:bidi="hi-IN"/>
    </w:rPr>
  </w:style>
  <w:style w:type="paragraph" w:styleId="Nzev">
    <w:name w:val="Title"/>
    <w:basedOn w:val="LO-normal"/>
    <w:next w:val="LO-normal"/>
    <w:qFormat/>
    <w:pPr>
      <w:keepNext w:val="true"/>
      <w:keepLines/>
      <w:pageBreakBefore w:val="false"/>
      <w:spacing w:lineRule="auto" w:line="240" w:before="480" w:after="120"/>
    </w:pPr>
    <w:rPr>
      <w:b/>
      <w:bCs/>
      <w:sz w:val="72"/>
      <w:szCs w:val="72"/>
    </w:rPr>
  </w:style>
  <w:style w:type="paragraph" w:styleId="Podtitul">
    <w:name w:val="Subtitle"/>
    <w:basedOn w:val="LO-normal"/>
    <w:next w:val="LO-normal"/>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Zhlavazpat">
    <w:name w:val="Záhlaví a zápatí"/>
    <w:basedOn w:val="Normal"/>
    <w:qFormat/>
    <w:pPr/>
    <w:rPr/>
  </w:style>
  <w:style w:type="paragraph" w:styleId="Zpat">
    <w:name w:val="Footer"/>
    <w:basedOn w:val="Zhlavazpat"/>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6</TotalTime>
  <Application>LibreOffice/7.5.0.3$Windows_X86_64 LibreOffice_project/c21113d003cd3efa8c53188764377a8272d9d6de</Application>
  <AppVersion>15.0000</AppVersion>
  <Pages>4</Pages>
  <Words>1075</Words>
  <Characters>6053</Characters>
  <CharactersWithSpaces>7064</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2026-04-29T18:23:36Z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