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6F71" w14:textId="383B649D" w:rsidR="008247CF" w:rsidRPr="003A6BB3" w:rsidRDefault="008247CF" w:rsidP="003A6BB3">
      <w:pPr>
        <w:spacing w:after="120" w:line="240" w:lineRule="exact"/>
        <w:jc w:val="center"/>
        <w:textAlignment w:val="baseline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3A6BB3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Obecně závazná vyhláška</w:t>
      </w:r>
      <w:r w:rsidR="003A6BB3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r w:rsidR="00F678AB" w:rsidRPr="003A6BB3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č.</w:t>
      </w:r>
      <w:r w:rsidR="00D35B16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1/2024</w:t>
      </w:r>
      <w:r w:rsidRPr="003A6BB3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</w:p>
    <w:p w14:paraId="7FE3C3EC" w14:textId="751D4490" w:rsidR="00210C73" w:rsidRPr="003A6BB3" w:rsidRDefault="003A6BB3" w:rsidP="00144552">
      <w:pPr>
        <w:spacing w:after="120" w:line="240" w:lineRule="exact"/>
        <w:jc w:val="center"/>
        <w:textAlignment w:val="baseline"/>
        <w:rPr>
          <w:rFonts w:eastAsia="Times New Roman" w:cstheme="minorHAnsi"/>
          <w:color w:val="000000"/>
          <w:kern w:val="0"/>
          <w:sz w:val="28"/>
          <w:szCs w:val="28"/>
          <w:lang w:eastAsia="cs-CZ"/>
          <w14:ligatures w14:val="none"/>
        </w:rPr>
      </w:pPr>
      <w:r w:rsidRPr="003A6BB3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o</w:t>
      </w: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stanovení podmínek k zabezpečení požární ochrany při akcích, kterých se zúčastní větší počet osob</w:t>
      </w:r>
    </w:p>
    <w:p w14:paraId="5ED9C581" w14:textId="77777777" w:rsidR="00FD6757" w:rsidRDefault="00210C73" w:rsidP="00403567">
      <w:pPr>
        <w:spacing w:after="120" w:line="240" w:lineRule="exact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FD675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F1F9F6E" w14:textId="77777777" w:rsidR="00462340" w:rsidRDefault="00462340" w:rsidP="00403567">
      <w:pPr>
        <w:spacing w:after="120" w:line="240" w:lineRule="exact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7E52FE41" w14:textId="4398C68F" w:rsidR="00FD6757" w:rsidRPr="00FD6757" w:rsidRDefault="00F678AB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Zastupitelstvo Obce Stachy se na svém </w:t>
      </w:r>
      <w:r w:rsidR="00D35B1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XIII. 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zasedání dne </w:t>
      </w:r>
      <w:r w:rsidR="00D35B1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02.12.2024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usneslo vydat v souladu s ustanovením </w:t>
      </w:r>
      <w:r w:rsidR="00210C73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§ 29 odst. 1 písm. o) bod 2 zákona č. 133/1985 Sb., o požární ochraně, v</w:t>
      </w:r>
      <w:r w:rsidR="002202A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 platném znění</w:t>
      </w:r>
      <w:r w:rsidR="00210C73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§ 1 </w:t>
      </w:r>
      <w:r w:rsidR="002202A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odst. 2 </w:t>
      </w:r>
      <w:r w:rsidR="00210C73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písm. e) </w:t>
      </w:r>
      <w:r w:rsidR="002202A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bod 1.</w:t>
      </w:r>
      <w:r w:rsidR="00210C73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2202A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</w:t>
      </w:r>
      <w:r w:rsidR="00210C73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ařízení vlády č. 172/2001 Sb., k provedení zákona o požární ochraně</w:t>
      </w:r>
      <w:r w:rsidR="002202A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 w:rsidR="00764AF0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v </w:t>
      </w:r>
      <w:r w:rsidR="002202A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platném znění</w:t>
      </w:r>
      <w:r w:rsidR="00A41B3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 w:rsidR="00764AF0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Nařízení kraje č. 3/2002 ze dne 4. 6. 2002, kterým se stanoví podmínky k zabezpečení požární ochrany při akcích, kterých se zúčastňuje větší počet osob</w:t>
      </w:r>
      <w:r w:rsidR="00210C73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 podle § 10 </w:t>
      </w:r>
      <w:r w:rsidR="002202A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písm. d) a § 84 písm. h) zákona </w:t>
      </w:r>
      <w:r w:rsidR="00210C73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č. 128/2000 Sb., o obcích, </w:t>
      </w:r>
      <w:r w:rsidR="002202A8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 platném znění</w:t>
      </w:r>
      <w:r w:rsidR="00764AF0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tuto obecně závaznou vyhlášku</w:t>
      </w:r>
    </w:p>
    <w:p w14:paraId="47537069" w14:textId="77777777" w:rsidR="00403567" w:rsidRDefault="00403567" w:rsidP="00CA4F01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6ED5D986" w14:textId="36E34178" w:rsidR="00FD6757" w:rsidRDefault="00210C7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FD675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Čl</w:t>
      </w:r>
      <w:r w:rsidR="00FD675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ánek</w:t>
      </w:r>
      <w:r w:rsidRPr="00FD675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1</w:t>
      </w:r>
    </w:p>
    <w:p w14:paraId="10CF51EA" w14:textId="77777777" w:rsidR="00FD6757" w:rsidRDefault="00210C7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FD675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Účel dokumentace</w:t>
      </w:r>
    </w:p>
    <w:p w14:paraId="5212EC02" w14:textId="38E6374B" w:rsidR="00210C73" w:rsidRPr="00FD6757" w:rsidRDefault="00764AF0" w:rsidP="00547A9C">
      <w:pPr>
        <w:pStyle w:val="Odstavecseseznamem"/>
        <w:numPr>
          <w:ilvl w:val="0"/>
          <w:numId w:val="2"/>
        </w:numPr>
        <w:spacing w:after="120" w:line="240" w:lineRule="exact"/>
        <w:ind w:left="71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Tato vyhláška</w:t>
      </w:r>
      <w:r w:rsidR="00210C73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stanov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í</w:t>
      </w:r>
      <w:r w:rsidR="00210C73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podmínky požární bezpečnosti pro zabezpečení kulturních, sportovních, společenských, zábavných, politických, obchodních, náboženských a jiných obdobných akcí a shromáždění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na území obce Stachy</w:t>
      </w:r>
      <w:r w:rsidR="00210C73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kterých se zúčastňuje větší počet osob (dále jen</w:t>
      </w:r>
      <w:r w:rsidR="00FD6757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210C73"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"akce"</w:t>
      </w:r>
      <w:r w:rsidR="00210C73" w:rsidRPr="00E23D6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</w:t>
      </w:r>
      <w:r w:rsidRPr="00E23D6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</w:p>
    <w:p w14:paraId="3AF4FC44" w14:textId="0AA6FCDB" w:rsidR="00210C73" w:rsidRDefault="00210C73" w:rsidP="00547A9C">
      <w:pPr>
        <w:pStyle w:val="Odstavecseseznamem"/>
        <w:numPr>
          <w:ilvl w:val="0"/>
          <w:numId w:val="2"/>
        </w:numPr>
        <w:spacing w:after="120" w:line="240" w:lineRule="exact"/>
        <w:ind w:left="71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Za plnění podmínek k zabezpečení požární ochrany při akcích odpovídá právnická osoba, podnikající fyzická osoba, fyzická osoba nebo skupina osob</w:t>
      </w:r>
      <w:r w:rsidR="005E135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včetně sdružení občanů</w:t>
      </w:r>
      <w:r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které pořádají akci </w:t>
      </w:r>
      <w:r w:rsidRPr="00E23D6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na území obce</w:t>
      </w:r>
      <w:r w:rsidR="005E135C" w:rsidRPr="00E23D6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Pr="00FD675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(dále jen "organizátor akce").</w:t>
      </w:r>
    </w:p>
    <w:p w14:paraId="2B013B95" w14:textId="77777777" w:rsidR="00462340" w:rsidRPr="00FD6757" w:rsidRDefault="00462340" w:rsidP="00547A9C">
      <w:pPr>
        <w:pStyle w:val="Odstavecseseznamem"/>
        <w:spacing w:after="120" w:line="240" w:lineRule="exact"/>
        <w:ind w:left="71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AE65E39" w14:textId="2CA191C1" w:rsidR="00210C73" w:rsidRPr="007917F9" w:rsidRDefault="00210C73" w:rsidP="00CA4F01">
      <w:pPr>
        <w:spacing w:after="120" w:line="240" w:lineRule="exact"/>
        <w:jc w:val="both"/>
        <w:textAlignment w:val="baseline"/>
        <w:rPr>
          <w:rFonts w:ascii="Raleway" w:eastAsia="Times New Roman" w:hAnsi="Raleway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7917F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Čl</w:t>
      </w:r>
      <w:r w:rsidR="007917F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ánek</w:t>
      </w:r>
      <w:r w:rsidRPr="007917F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2</w:t>
      </w:r>
    </w:p>
    <w:p w14:paraId="5D8A2DA4" w14:textId="29CDB0E4" w:rsidR="00210C73" w:rsidRDefault="00547A9C" w:rsidP="00CA4F01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Vymezení pojmů</w:t>
      </w:r>
    </w:p>
    <w:p w14:paraId="71288DF9" w14:textId="0ED9F4F7" w:rsidR="00547A9C" w:rsidRDefault="00547A9C" w:rsidP="00547A9C">
      <w:pPr>
        <w:pStyle w:val="Odstavecseseznamem"/>
        <w:numPr>
          <w:ilvl w:val="0"/>
          <w:numId w:val="3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Pro účely t</w:t>
      </w:r>
      <w:r w:rsidR="00825D8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éto </w:t>
      </w:r>
      <w:r w:rsidR="00E23D6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vyhlášky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se rozumí:</w:t>
      </w:r>
    </w:p>
    <w:p w14:paraId="3A71CAF8" w14:textId="00C86AA9" w:rsidR="00547A9C" w:rsidRDefault="00547A9C" w:rsidP="00547A9C">
      <w:pPr>
        <w:pStyle w:val="Odstavecseseznamem"/>
        <w:numPr>
          <w:ilvl w:val="1"/>
          <w:numId w:val="3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756CF0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stanovení podmínek požární bezpečnosti při akcích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– souhrn opatření, kterými se stanoví rozsah a způsob zabezpečení požární ochrany před zahájením akce, v jejím průběhu a při jejím ukončení,</w:t>
      </w:r>
    </w:p>
    <w:p w14:paraId="115A25EF" w14:textId="6A6E9C4A" w:rsidR="00756CF0" w:rsidRPr="000E063C" w:rsidRDefault="00547A9C" w:rsidP="00547A9C">
      <w:pPr>
        <w:pStyle w:val="Odstavecseseznamem"/>
        <w:numPr>
          <w:ilvl w:val="1"/>
          <w:numId w:val="3"/>
        </w:numPr>
        <w:spacing w:after="120" w:line="240" w:lineRule="exac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756CF0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ukončení akce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– ponechání místa konání akce v požárně nezávadném stavu, včetně dodržení podmínek </w:t>
      </w:r>
      <w:r w:rsidR="00756CF0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stanovených smlouvu </w:t>
      </w:r>
      <w:r w:rsidR="00756CF0" w:rsidRPr="000E063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podle čl. 3 odst. </w:t>
      </w:r>
      <w:r w:rsidR="00E4723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6</w:t>
      </w:r>
      <w:r w:rsidR="00756CF0" w:rsidRPr="000E063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této </w:t>
      </w:r>
      <w:r w:rsidR="00E4723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vyhlášky</w:t>
      </w:r>
      <w:r w:rsidR="00756CF0" w:rsidRPr="000E063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</w:p>
    <w:p w14:paraId="0D32BC00" w14:textId="2EFF8CF9" w:rsidR="00FF6C8F" w:rsidRPr="000E063C" w:rsidRDefault="00FF6C8F" w:rsidP="00547A9C">
      <w:pPr>
        <w:pStyle w:val="Odstavecseseznamem"/>
        <w:numPr>
          <w:ilvl w:val="1"/>
          <w:numId w:val="3"/>
        </w:numPr>
        <w:spacing w:after="120" w:line="240" w:lineRule="exac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E063C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>shromažďovací prostor</w:t>
      </w:r>
      <w:r w:rsidRPr="000E063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 vnitřní nebo venkovní prostor určený pro shrom</w:t>
      </w:r>
      <w:r w:rsidR="000B24AA" w:rsidRPr="000E063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ažďování většího počtu</w:t>
      </w:r>
      <w:r w:rsidR="000E063C" w:rsidRPr="000E063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osob</w:t>
      </w:r>
      <w:r w:rsidR="000B24AA" w:rsidRPr="000E063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</w:t>
      </w:r>
    </w:p>
    <w:p w14:paraId="0E7D6313" w14:textId="77777777" w:rsidR="00FF6C8F" w:rsidRPr="00691AAF" w:rsidRDefault="00756CF0" w:rsidP="00547A9C">
      <w:pPr>
        <w:pStyle w:val="Odstavecseseznamem"/>
        <w:numPr>
          <w:ilvl w:val="1"/>
          <w:numId w:val="3"/>
        </w:numPr>
        <w:spacing w:after="120" w:line="240" w:lineRule="exac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vnitřní shromažďovací prostor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– prostor, který je po obvodě a shora vymezený stavebními konstrukcemi, přičemž se za stavební konstrukce považují také konstrukce přemístitelné (posuvná stěna či střecha apod.) nebo krátkodobé, </w:t>
      </w:r>
      <w:r w:rsidRPr="00691AA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popřípadě dočasné (stanové, kontejn</w:t>
      </w:r>
      <w:r w:rsidR="00FF6C8F" w:rsidRPr="00691AA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e</w:t>
      </w:r>
      <w:r w:rsidRPr="00691AA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rové, buňkové apod.)</w:t>
      </w:r>
      <w:r w:rsidR="00FF6C8F" w:rsidRPr="00691AA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</w:p>
    <w:p w14:paraId="47517B3E" w14:textId="44E939FB" w:rsidR="00547A9C" w:rsidRPr="00691AAF" w:rsidRDefault="000B24AA" w:rsidP="00067E8C">
      <w:pPr>
        <w:pStyle w:val="Odstavecseseznamem"/>
        <w:numPr>
          <w:ilvl w:val="1"/>
          <w:numId w:val="3"/>
        </w:numPr>
        <w:spacing w:after="120" w:line="240" w:lineRule="exact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691A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>venkovní shromažďovací prostor</w:t>
      </w:r>
      <w:r w:rsidRPr="00691AA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 prostor, který je neuzavřený po obvodě nebo shora, avšak vytvořený nebo vymezený stavebními konstrukcemi (tribunou, pódiem, ohradní stěnou, oplocením, přenosnými zábranami apod.), okolním terénem nebo přírodním prostředím (svah, </w:t>
      </w:r>
      <w:r w:rsidR="000445B2" w:rsidRPr="00691AA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skála, </w:t>
      </w:r>
      <w:r w:rsidRPr="00691AA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vodní plocha)</w:t>
      </w:r>
      <w:r w:rsidR="00067E8C" w:rsidRPr="00691AA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; také prostor v uzavřeném nebo částečně uzavřeném volném prostranství (dvory apod.)</w:t>
      </w:r>
      <w:r w:rsidR="00786D7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</w:t>
      </w:r>
      <w:r w:rsidR="00067E8C" w:rsidRPr="00691AA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prostor na veřejném prostranství i mimo něj pod širým nebem.</w:t>
      </w:r>
      <w:r w:rsidR="00547A9C" w:rsidRPr="00691AA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FB2602D" w14:textId="77777777" w:rsidR="00547A9C" w:rsidRPr="00067E8C" w:rsidRDefault="00547A9C" w:rsidP="00547A9C">
      <w:pPr>
        <w:pStyle w:val="Odstavecseseznamem"/>
        <w:spacing w:after="120" w:line="240" w:lineRule="exact"/>
        <w:jc w:val="both"/>
        <w:textAlignment w:val="baseline"/>
        <w:rPr>
          <w:rFonts w:eastAsia="Times New Roman" w:cstheme="minorHAnsi"/>
          <w:color w:val="ED0000"/>
          <w:kern w:val="0"/>
          <w:sz w:val="24"/>
          <w:szCs w:val="24"/>
          <w:lang w:eastAsia="cs-CZ"/>
          <w14:ligatures w14:val="none"/>
        </w:rPr>
      </w:pPr>
    </w:p>
    <w:p w14:paraId="025B807F" w14:textId="7568187E" w:rsidR="00067E8C" w:rsidRDefault="00067E8C" w:rsidP="000445B2">
      <w:pPr>
        <w:numPr>
          <w:ilvl w:val="0"/>
          <w:numId w:val="3"/>
        </w:numPr>
        <w:spacing w:after="120" w:line="240" w:lineRule="exact"/>
        <w:ind w:left="0" w:firstLine="357"/>
        <w:contextualSpacing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Členění akcí podle místa konán</w:t>
      </w:r>
      <w:r w:rsidR="000445B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í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 počtu osob</w:t>
      </w:r>
    </w:p>
    <w:p w14:paraId="4D4FFB4E" w14:textId="30600281" w:rsidR="00DC3885" w:rsidRDefault="00DC3885" w:rsidP="00DC3885">
      <w:pPr>
        <w:pStyle w:val="Odstavecseseznamem"/>
        <w:numPr>
          <w:ilvl w:val="1"/>
          <w:numId w:val="3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a</w:t>
      </w:r>
      <w:r w:rsidR="00210C73" w:rsidRPr="00DC3885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kce ve vnitřním shromažďovacím prostoru</w:t>
      </w:r>
      <w:r w:rsidR="000445B2" w:rsidRPr="00DC388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podle odst. 1 písm. c) a d)</w:t>
      </w:r>
      <w:r w:rsidR="00FD5E3A" w:rsidRPr="00DC388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tohoto článku, určeném k tomuto účelu v souladu se zvláštním právním předpisem</w:t>
      </w:r>
    </w:p>
    <w:p w14:paraId="12E85479" w14:textId="7B9CB6D0" w:rsidR="000445B2" w:rsidRPr="00DC3885" w:rsidRDefault="008A10CF" w:rsidP="00DC3885">
      <w:pPr>
        <w:pStyle w:val="Odstavecseseznamem"/>
        <w:spacing w:after="120" w:line="240" w:lineRule="exact"/>
        <w:ind w:left="1440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="00210C73" w:rsidRPr="00DC388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u něhož z dokumentace ověřené stavebním úřadem vyplývá počet osob, pro které je prostor určen, (</w:t>
      </w:r>
      <w:r w:rsidR="00FD5E3A" w:rsidRPr="00DC388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tj.</w:t>
      </w:r>
      <w:r w:rsidR="00210C73" w:rsidRPr="00DC388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200 </w:t>
      </w:r>
      <w:r w:rsidR="00FD5E3A" w:rsidRPr="00DC388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osob </w:t>
      </w:r>
      <w:r w:rsidR="00210C73" w:rsidRPr="00DC388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a více),</w:t>
      </w:r>
    </w:p>
    <w:p w14:paraId="71F4F87B" w14:textId="461E4F9C" w:rsidR="005F1776" w:rsidRPr="005F1776" w:rsidRDefault="008A10CF" w:rsidP="00DC3885">
      <w:pPr>
        <w:pStyle w:val="Odstavecseseznamem"/>
        <w:spacing w:after="120" w:line="240" w:lineRule="exact"/>
        <w:ind w:left="1440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lastRenderedPageBreak/>
        <w:t>-</w:t>
      </w:r>
      <w:r w:rsidR="00210C73" w:rsidRPr="000445B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u něhož nebyl</w:t>
      </w:r>
      <w:r w:rsidR="000E50A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a</w:t>
      </w:r>
      <w:r w:rsidR="00210C73" w:rsidRPr="000445B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 dokumentaci ověřené stavebním úřadem stanoven</w:t>
      </w:r>
      <w:r w:rsidR="000E50A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a dolní hranice počtu osob, které se mohou v tomto prostoru současně vyskytovat, pak se za tento počet považuje 200 osob a více; nebyla-li v dokumentaci ověřené stavebním úřadem stanovena horní hranice počtu osob, které se mohou současně v tomto prostoru vyskytovat, pak tento</w:t>
      </w:r>
      <w:r w:rsidR="00210C73" w:rsidRPr="000445B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počet </w:t>
      </w:r>
      <w:r w:rsidR="000E50A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určí jeho vlastník (dále se </w:t>
      </w:r>
      <w:r w:rsidR="00210C73" w:rsidRPr="000445B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uplatňuje postup dle § 2 odst. 2 zákona o </w:t>
      </w:r>
      <w:r w:rsidR="000E50A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požární ochraně</w:t>
      </w:r>
      <w:r w:rsidR="00210C73" w:rsidRPr="000445B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)</w:t>
      </w:r>
      <w:r w:rsidR="005F177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6BFF93D1" w14:textId="43EE49FB" w:rsidR="00462340" w:rsidRDefault="00DC3885" w:rsidP="00DC3885">
      <w:pPr>
        <w:pStyle w:val="Odstavecseseznamem"/>
        <w:numPr>
          <w:ilvl w:val="1"/>
          <w:numId w:val="3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a</w:t>
      </w:r>
      <w:r w:rsidR="00210C73" w:rsidRPr="000445B2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kce ve venkovním shromažďovacím prostoru</w:t>
      </w:r>
      <w:r w:rsidR="005F177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podle odst. 1 písm. c) a e) tohoto článku, určeném k tomu účelu v souladu se zvláštním právním předpisem</w:t>
      </w:r>
    </w:p>
    <w:p w14:paraId="49226983" w14:textId="13E0EBDE" w:rsidR="005F1776" w:rsidRDefault="008A10CF" w:rsidP="00DC3885">
      <w:pPr>
        <w:pStyle w:val="Odstavecseseznamem"/>
        <w:spacing w:after="120" w:line="240" w:lineRule="exact"/>
        <w:ind w:left="1434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="005F177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u něhož z dokumentace ověřené stavebním úřadem vyplývá počet osob, pro které je</w:t>
      </w:r>
      <w:r w:rsidR="00014CB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prostor určen (tj. 200 osob a více),</w:t>
      </w:r>
    </w:p>
    <w:p w14:paraId="1FD64122" w14:textId="36C54F1C" w:rsidR="000D48A0" w:rsidRDefault="008A10CF" w:rsidP="00DC3885">
      <w:pPr>
        <w:pStyle w:val="Odstavecseseznamem"/>
        <w:spacing w:after="120" w:line="240" w:lineRule="exact"/>
        <w:ind w:left="1434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="00014CB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u něhož nebyla v dokumentaci ověřené stavebním úřadem stanovena dolní hranice počtu osob, které se mohou v tomto prostoru současně vyskytovat, pak se za tento počet považuje 200 osob a více; nebyla-li v dokumentaci ověřené stavebním úřadem stanovena horní hranice počtu osob, které se mohou současně v tomto prostoru vyskytovat, pak tento počet určí jeho vlastník (dále se uplatňuje postup dle § 2 odst. 2 zákona o požární ochraně).</w:t>
      </w:r>
    </w:p>
    <w:p w14:paraId="0159DB23" w14:textId="35B6DA28" w:rsidR="005F1776" w:rsidRPr="000D48A0" w:rsidRDefault="00DC3885" w:rsidP="00DC3885">
      <w:pPr>
        <w:pStyle w:val="Odstavecseseznamem"/>
        <w:numPr>
          <w:ilvl w:val="1"/>
          <w:numId w:val="3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a</w:t>
      </w:r>
      <w:r w:rsidR="005F1776" w:rsidRPr="000445B2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kce ve venkovním shromažďovacím prostoru</w:t>
      </w:r>
      <w:r w:rsidR="000D48A0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kterých se zúčastní 300 osob a více; v případě akcí na veřejném prostranství i mimo ně pod širým nebem, kterých se účastní 900 osob a více.</w:t>
      </w:r>
    </w:p>
    <w:p w14:paraId="21DE25DB" w14:textId="77777777" w:rsidR="000D48A0" w:rsidRDefault="000D48A0" w:rsidP="00CA4F01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295D2B89" w14:textId="75539092" w:rsidR="00210C73" w:rsidRPr="007917F9" w:rsidRDefault="00210C7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7917F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Čl</w:t>
      </w:r>
      <w:r w:rsidR="007917F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ánek</w:t>
      </w:r>
      <w:r w:rsidRPr="007917F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3</w:t>
      </w:r>
    </w:p>
    <w:p w14:paraId="42DAEEFB" w14:textId="313EE848" w:rsidR="00210C73" w:rsidRPr="007917F9" w:rsidRDefault="00210C7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7917F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Stanovení podmínek požární bezpečnosti pro pořádání akce</w:t>
      </w:r>
    </w:p>
    <w:p w14:paraId="20D64026" w14:textId="7C7258DB" w:rsidR="005238BE" w:rsidRPr="00B33075" w:rsidRDefault="00DC3885" w:rsidP="00CA4F01">
      <w:pPr>
        <w:numPr>
          <w:ilvl w:val="0"/>
          <w:numId w:val="8"/>
        </w:num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K pořádání akce lze </w:t>
      </w:r>
      <w:r w:rsidR="00210C73" w:rsidRPr="00B3307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využívat pouze prostor (stavbu, místo), který byl k tomu účelu určen v souladu s právními předpisy, přičemž nesmí být překročen maximální počet osob</w:t>
      </w:r>
      <w:r w:rsidR="00E11C1C" w:rsidRPr="00B3307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stanovený</w:t>
      </w:r>
      <w:r w:rsidR="009B0911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podle </w:t>
      </w:r>
      <w:r w:rsidR="00E11C1C" w:rsidRPr="00B3307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čl. 2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písm. a) a b) </w:t>
      </w:r>
      <w:r w:rsidR="00E11C1C" w:rsidRPr="00B3307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této </w:t>
      </w:r>
      <w:r w:rsidR="00E23D6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vyhlášky</w:t>
      </w:r>
      <w:r w:rsidR="00E11C1C" w:rsidRPr="00B3307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3D14A08D" w14:textId="77777777" w:rsidR="002742E7" w:rsidRDefault="00332C8B" w:rsidP="002742E7">
      <w:pPr>
        <w:numPr>
          <w:ilvl w:val="0"/>
          <w:numId w:val="8"/>
        </w:num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K pořádání akcí podle čl. 2 písm. a) a b) této</w:t>
      </w:r>
      <w:r w:rsidR="00E23D6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vyhlášky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 případě, že pro objekt není v dokumentaci ověřené stavebním úřadem stanovena horní hranice počtu osob, které se mohou současně v tomto prostoru vyskytovat, zajistí organizátor akce </w:t>
      </w:r>
      <w:r w:rsidR="00C9428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podle odst. 4 </w:t>
      </w:r>
      <w:r w:rsidR="002742E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jako součást stanovení rozsahu a způsobu zabezpečení požární ochrany </w:t>
      </w:r>
      <w:r w:rsidR="00AF2A49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zpracování identifi</w:t>
      </w:r>
      <w:r w:rsidR="002742E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kační karty prostoru (stavby) v rozsahu podle přílohy č. 3 této vyhlášky.</w:t>
      </w:r>
      <w:r w:rsidR="00C9428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B15EBF8" w14:textId="06A89AF0" w:rsidR="00C9428D" w:rsidRPr="002742E7" w:rsidRDefault="00C9428D" w:rsidP="002742E7">
      <w:pPr>
        <w:numPr>
          <w:ilvl w:val="0"/>
          <w:numId w:val="8"/>
        </w:num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2742E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Při akcích podle článku 2 </w:t>
      </w:r>
      <w:r w:rsidR="00691AAF" w:rsidRPr="002742E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písm</w:t>
      </w:r>
      <w:r w:rsidRPr="002742E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. c) </w:t>
      </w:r>
      <w:r w:rsidR="00691AAF" w:rsidRPr="002742E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této </w:t>
      </w:r>
      <w:r w:rsidR="004D1D6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vyhlášky</w:t>
      </w:r>
      <w:r w:rsidR="00691AAF" w:rsidRPr="002742E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742E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organizátor akce oznámí obci předpokládaný počet zúčastněných osob</w:t>
      </w:r>
      <w:r w:rsidR="00691AAF" w:rsidRPr="002742E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. Není-li možno zajistit prokazatelnost nepřekročení maximálního počtu zúčastněných osob, zabezpečí požární bezpečnost v souladu s touto </w:t>
      </w:r>
      <w:r w:rsidR="004D1D6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vyhláškou</w:t>
      </w:r>
      <w:r w:rsidR="00691AAF" w:rsidRPr="002742E7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2C562B34" w14:textId="77777777" w:rsidR="00C56795" w:rsidRDefault="00C56795" w:rsidP="00C56795">
      <w:pPr>
        <w:numPr>
          <w:ilvl w:val="0"/>
          <w:numId w:val="8"/>
        </w:num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B3307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Organizátor akce prokazatelně stanoví rozsah a způsob zabezpečení požární ochrany, včetně povinností a způsobu plnění úkolů všech osob podílejících se na organizačním a technickém zajištění akce a osob účastnících se akce, přičemž postupuje způsobem stanoveným právním předpisem (§ 15 vyhlášky č. 246/2001 Sb. o stanovení podmínek požární bezpečnosti a výkonu státního požárního dozoru).</w:t>
      </w:r>
    </w:p>
    <w:p w14:paraId="3403D37C" w14:textId="49D96483" w:rsidR="00622A65" w:rsidRPr="003119A6" w:rsidRDefault="00622A65" w:rsidP="00622A65">
      <w:pPr>
        <w:numPr>
          <w:ilvl w:val="0"/>
          <w:numId w:val="8"/>
        </w:num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V případě pořádání akcí opakovaně na tomtéž místě za shodných podmínek, lze stanovit rozsah a způsob zabezpečení požární ochrany pro určený počet akcí jednotně, přičemž před každou jednotlivou akcí musí být provedena kontrola dodržování stanovených podmínek požární bezpečnosti </w:t>
      </w:r>
      <w:r w:rsidRPr="004D1D6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podle čl. 3 odst.</w:t>
      </w:r>
      <w:r w:rsidR="00E23D62" w:rsidRPr="004D1D6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1</w:t>
      </w:r>
      <w:r w:rsidR="001E0E2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1</w:t>
      </w:r>
      <w:r w:rsidRPr="004D1D6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Pr="00E3229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této </w:t>
      </w:r>
      <w:r w:rsidR="00E23D6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vyhlášky</w:t>
      </w:r>
      <w:r w:rsidRPr="00E3229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včetně odstranění </w:t>
      </w:r>
      <w:r w:rsidR="004D1D6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zjištěných </w:t>
      </w:r>
      <w:r w:rsidRPr="00E3229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závad.</w:t>
      </w:r>
    </w:p>
    <w:p w14:paraId="5E400E38" w14:textId="1D54E02E" w:rsidR="005238BE" w:rsidRPr="00622A65" w:rsidRDefault="00210C73" w:rsidP="00622A65">
      <w:pPr>
        <w:numPr>
          <w:ilvl w:val="0"/>
          <w:numId w:val="8"/>
        </w:num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622A6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 případě, že organizátor akce není vlastníkem prostoru (stavby, místa), kde se akce koná, kromě veřejného prostranství, musí být před započetím akce rozsah odpovědnosti stanoven smlouvou dle § 2 zákona o</w:t>
      </w:r>
      <w:r w:rsidR="00F678A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požární ochraně</w:t>
      </w:r>
      <w:r w:rsidRPr="00622A6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4C6D26C4" w14:textId="2255C206" w:rsidR="003119A6" w:rsidRDefault="0034626D" w:rsidP="00CA4F01">
      <w:pPr>
        <w:numPr>
          <w:ilvl w:val="0"/>
          <w:numId w:val="8"/>
        </w:num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Organizátor akce zřizuje preventivní požární hlídku, a pokud to </w:t>
      </w:r>
      <w:r w:rsidR="004D1D6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važuje </w:t>
      </w:r>
      <w:r w:rsidR="008F589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povaha akce (např. rozlehlost místa konání, počet účastníků, možnosti úniku osob), zřizuje větší počet požárních hlídek</w:t>
      </w:r>
      <w:r w:rsidR="004D1D6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 souladu s </w:t>
      </w:r>
      <w:r w:rsidR="00C41F5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u</w:t>
      </w:r>
      <w:r w:rsidR="004D1D6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stanovením § 13 odst. 1 písm. b) zákona o požární ochraně</w:t>
      </w:r>
      <w:r w:rsidR="008F589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 P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reventivní p</w:t>
      </w:r>
      <w:r w:rsidR="008F589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ožární hlídka je zpravidla složena z velitele a dvou členů. Je-li organizátorem akce fyzická osoba, pak povinnosti k zajištění požární bezpečnosti akce stanovené touto </w:t>
      </w:r>
      <w:r w:rsidR="00C41F5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vyhláškou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preventivní</w:t>
      </w:r>
      <w:r w:rsidR="008F589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požární hlídce zabezpečí tato fyzická osoba prostřednictvím potřebného počtu způsobilých pořadatelů.</w:t>
      </w:r>
    </w:p>
    <w:p w14:paraId="77E3BBD5" w14:textId="6C8B23BF" w:rsidR="00416601" w:rsidRDefault="00416601" w:rsidP="00CA4F01">
      <w:pPr>
        <w:numPr>
          <w:ilvl w:val="0"/>
          <w:numId w:val="8"/>
        </w:num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lastRenderedPageBreak/>
        <w:t xml:space="preserve">Organizátor akce zajišťuje odpovídající podmínky pro činnost 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preventivních 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požárních hlídek zejména aby:</w:t>
      </w:r>
    </w:p>
    <w:p w14:paraId="237CE262" w14:textId="78E893DA" w:rsidR="00416601" w:rsidRPr="0033306D" w:rsidRDefault="00416601" w:rsidP="0033306D">
      <w:pPr>
        <w:pStyle w:val="Odstavecseseznamem"/>
        <w:numPr>
          <w:ilvl w:val="2"/>
          <w:numId w:val="8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činnost v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preventivní</w:t>
      </w: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 požární hlídce vykonával</w:t>
      </w:r>
      <w:r w:rsidR="00C41F5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y</w:t>
      </w: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pouze osoby, které absolvovali odbornou přípravu,</w:t>
      </w:r>
    </w:p>
    <w:p w14:paraId="23DF8B2F" w14:textId="5F879547" w:rsidR="0033306D" w:rsidRDefault="00416601" w:rsidP="0033306D">
      <w:pPr>
        <w:pStyle w:val="Odstavecseseznamem"/>
        <w:numPr>
          <w:ilvl w:val="2"/>
          <w:numId w:val="8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byly vymezeny úkoly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preventivní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požární hlídky včetně určení stanoviště, přičemž úkoly musí být stanoveny tak, aby je bylo možné velitelem a členy preventivní 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požární 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hlídky obsáhnout a byly stanoveny vždy ke konk</w:t>
      </w:r>
      <w:r w:rsid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rétní fyzické osobě</w:t>
      </w:r>
      <w:r w:rsidR="0071383B" w:rsidRPr="00C41F54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(některé podrobnosti k činnostem požárních hlídek jsou uvedeny v příloze č. 1 této </w:t>
      </w:r>
      <w:r w:rsidR="00C41F54" w:rsidRPr="00C41F54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vyhlášky</w:t>
      </w:r>
      <w:r w:rsidR="0071383B" w:rsidRPr="00C41F54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</w:t>
      </w:r>
      <w:r w:rsidR="00C41F54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</w:p>
    <w:p w14:paraId="30C577EF" w14:textId="33676C17" w:rsidR="00416601" w:rsidRPr="00416601" w:rsidRDefault="0033306D" w:rsidP="0033306D">
      <w:pPr>
        <w:pStyle w:val="Odstavecseseznamem"/>
        <w:numPr>
          <w:ilvl w:val="2"/>
          <w:numId w:val="8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byl stanoven a zabezpečen mezi velitelem a členy 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preventivní 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požární hlídky, v případě většího počtu 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preventivních 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požárních hlídek i mezi veliteli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preventivních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požárních hlídek, funkční způsob komunikace pro průběh akce k zajištění neodkladného předávání informací. </w:t>
      </w:r>
      <w:r w:rsidR="00416601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7BE4BCD" w14:textId="77777777" w:rsidR="00462340" w:rsidRPr="0033306D" w:rsidRDefault="00210C73" w:rsidP="00CA4F01">
      <w:pPr>
        <w:pStyle w:val="Odstavecseseznamem"/>
        <w:numPr>
          <w:ilvl w:val="0"/>
          <w:numId w:val="8"/>
        </w:numPr>
        <w:spacing w:before="100" w:beforeAutospacing="1" w:after="120" w:line="240" w:lineRule="exact"/>
        <w:ind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Organizátor akce seznámí odpovídajícím způsobem a v potřebném rozsahu se stanovenými opatřeními k zabezpečení požární ochrany</w:t>
      </w:r>
      <w:r w:rsidR="005238BE"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:</w:t>
      </w:r>
    </w:p>
    <w:p w14:paraId="50672923" w14:textId="0D0598F8" w:rsidR="00462340" w:rsidRPr="0033306D" w:rsidRDefault="00210C73" w:rsidP="0033306D">
      <w:pPr>
        <w:pStyle w:val="Odstavecseseznamem"/>
        <w:numPr>
          <w:ilvl w:val="1"/>
          <w:numId w:val="8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účastníky akce, např. rozmístěním informačních a bezpečnostních tabulek a značení,</w:t>
      </w:r>
      <w:r w:rsid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upozorněním na omezení, které může být součástí pozvánky či prezentace akce,</w:t>
      </w:r>
    </w:p>
    <w:p w14:paraId="5B9232B5" w14:textId="08B2AF6D" w:rsidR="00462340" w:rsidRPr="0033306D" w:rsidRDefault="00210C73" w:rsidP="00CA4F01">
      <w:pPr>
        <w:pStyle w:val="Odstavecseseznamem"/>
        <w:numPr>
          <w:ilvl w:val="1"/>
          <w:numId w:val="8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osoby podílející se na zabezpečení akce, 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např.</w:t>
      </w: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preventivní požární hlídky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pořadatel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ská služba</w:t>
      </w: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</w:t>
      </w:r>
    </w:p>
    <w:p w14:paraId="6A9C3715" w14:textId="45574989" w:rsidR="00334461" w:rsidRDefault="00210C73" w:rsidP="00334461">
      <w:pPr>
        <w:pStyle w:val="Odstavecseseznamem"/>
        <w:numPr>
          <w:ilvl w:val="1"/>
          <w:numId w:val="8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účinkující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např.</w:t>
      </w: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osoby </w:t>
      </w:r>
      <w:r w:rsidR="00565F5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zajišťující program a vystoupení, prodejci včetně všech osob zajišťující pro ně technické zá</w:t>
      </w:r>
      <w:r w:rsidRPr="0033306D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zemí</w:t>
      </w:r>
      <w:r w:rsidR="00334461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45203472" w14:textId="5326AB07" w:rsidR="00334461" w:rsidRPr="001E0E20" w:rsidRDefault="00334461" w:rsidP="001E0E2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exact"/>
        <w:ind w:left="714" w:hanging="357"/>
        <w:jc w:val="both"/>
        <w:rPr>
          <w:rFonts w:cstheme="minorHAnsi"/>
          <w:kern w:val="0"/>
          <w:sz w:val="24"/>
          <w:szCs w:val="24"/>
        </w:rPr>
      </w:pPr>
      <w:r w:rsidRPr="001E0E20">
        <w:rPr>
          <w:rFonts w:cstheme="minorHAnsi"/>
          <w:kern w:val="0"/>
          <w:sz w:val="24"/>
          <w:szCs w:val="24"/>
        </w:rPr>
        <w:t>Ze shromažďovacího prostoru musí být v celém průběhu konání akce zajištěn bezpečný únik všech osob, které se v daném prostoru zdržují. Únikové cesty musí být viditelně označeny a trvale udržovány pr</w:t>
      </w:r>
      <w:r w:rsidR="001E0E20" w:rsidRPr="001E0E20">
        <w:rPr>
          <w:rFonts w:cstheme="minorHAnsi"/>
          <w:kern w:val="0"/>
          <w:sz w:val="24"/>
          <w:szCs w:val="24"/>
        </w:rPr>
        <w:t>ů</w:t>
      </w:r>
      <w:r w:rsidRPr="001E0E20">
        <w:rPr>
          <w:rFonts w:cstheme="minorHAnsi"/>
          <w:kern w:val="0"/>
          <w:sz w:val="24"/>
          <w:szCs w:val="24"/>
        </w:rPr>
        <w:t>chodné.</w:t>
      </w:r>
    </w:p>
    <w:p w14:paraId="6769F434" w14:textId="1EB284C7" w:rsidR="00DE4FBD" w:rsidRPr="0057498B" w:rsidRDefault="00210C73" w:rsidP="004678F4">
      <w:pPr>
        <w:pStyle w:val="Odstavecseseznamem"/>
        <w:numPr>
          <w:ilvl w:val="0"/>
          <w:numId w:val="8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Organizátor akce zajistí kontrolu plnění stanovených podmínek požární bezpečnosti pro </w:t>
      </w:r>
      <w:proofErr w:type="gramStart"/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akci</w:t>
      </w:r>
      <w:r w:rsidR="003A2974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- 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před</w:t>
      </w:r>
      <w:proofErr w:type="gramEnd"/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zahájením</w:t>
      </w:r>
      <w:r w:rsidR="003A2974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(včetně přípravných činností)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v průběhu a p</w:t>
      </w:r>
      <w:r w:rsidR="003A2974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ři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ukončení akce</w:t>
      </w:r>
      <w:r w:rsidR="00471B4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471B4B" w:rsidRPr="00B5442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(podrobnosti k zajištění kontroly</w:t>
      </w:r>
      <w:r w:rsidR="009223EB" w:rsidRPr="00B5442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ustanovení požárních hlídek</w:t>
      </w:r>
      <w:r w:rsidR="00471B4B" w:rsidRPr="00B5442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jsou uvedeny v příloze č. 1</w:t>
      </w:r>
      <w:r w:rsidR="009223EB" w:rsidRPr="00B5442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č. 2</w:t>
      </w:r>
      <w:r w:rsidR="00471B4B" w:rsidRPr="00B5442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této </w:t>
      </w:r>
      <w:r w:rsidR="009223EB" w:rsidRPr="00B5442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vyhlášky)</w:t>
      </w:r>
      <w:r w:rsidR="00B54421" w:rsidRPr="00B5442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Pr="00B5442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V případě, že byly při kontrole před zahájením akce zjištěny závažné nedostatky a tyto nebyly </w:t>
      </w:r>
      <w:proofErr w:type="gramStart"/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odstraněny</w:t>
      </w:r>
      <w:r w:rsidR="003A2974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-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organizátor</w:t>
      </w:r>
      <w:proofErr w:type="gramEnd"/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akci nezahájí. Nastane-li v průběhu akce situace, která vyvolává bezprostřední nebezpečí vzniku požáru a k odstranění tohoto nebezpečí nestačí jiná</w:t>
      </w:r>
      <w:r w:rsidR="00B54421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opatření</w:t>
      </w:r>
      <w:r w:rsidR="00B54421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3A2974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="00B54421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organizátor</w:t>
      </w:r>
      <w:proofErr w:type="gramEnd"/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akci přeruší </w:t>
      </w:r>
      <w:r w:rsidR="003A2974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popřípadě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ukončí</w:t>
      </w:r>
      <w:r w:rsidR="003A2974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; přerušení nebo ukončení akce organizátor akce zabezpeč</w:t>
      </w:r>
      <w:r w:rsidR="004678F4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í i tehdy, jestliže by v případě vzniku požáru byl ohrožen nebo znemožněn -</w:t>
      </w:r>
      <w:r w:rsidR="00B54421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4678F4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únik, záchrana osob nebo majetku.</w:t>
      </w:r>
    </w:p>
    <w:p w14:paraId="34DEDCBC" w14:textId="77777777" w:rsidR="00DE4FBD" w:rsidRPr="0057498B" w:rsidRDefault="00210C73" w:rsidP="003D25BF">
      <w:pPr>
        <w:pStyle w:val="Odstavecseseznamem"/>
        <w:numPr>
          <w:ilvl w:val="0"/>
          <w:numId w:val="8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K vytvoření podmínek pro hašení požárů a pro záchranné práce organizátor akce dále zajistí</w:t>
      </w:r>
      <w:r w:rsidR="005238BE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:</w:t>
      </w:r>
    </w:p>
    <w:p w14:paraId="47FEE4E6" w14:textId="2D0869D8" w:rsidR="00DE4FBD" w:rsidRPr="0057498B" w:rsidRDefault="00210C73" w:rsidP="003D25BF">
      <w:pPr>
        <w:pStyle w:val="Odstavecseseznamem"/>
        <w:numPr>
          <w:ilvl w:val="1"/>
          <w:numId w:val="8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vymezení prostoru pro příjezd a umístění mobilní požární techniky jednotek požární ochrany, a to vždy i v případě akce konané ve venkovním shromažďovacím prostoru</w:t>
      </w:r>
      <w:r w:rsidR="005238BE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</w:t>
      </w:r>
      <w:r w:rsidR="003D25BF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musí být 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vyznačen zákaz parkování vozidel v místech, kde by bránila</w:t>
      </w:r>
      <w:r w:rsidR="003D25BF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či omezovala 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příjezdu mobilní požární techniky, východů z prostor </w:t>
      </w:r>
      <w:r w:rsidR="00B50E59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(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stavby</w:t>
      </w:r>
      <w:r w:rsidR="00B50E59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)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které mají sloužit k úniku osob nebo evakuaci a znemožnila použití odběrního místa požární vody,</w:t>
      </w:r>
    </w:p>
    <w:p w14:paraId="72AAC359" w14:textId="2BE61108" w:rsidR="00DE4FBD" w:rsidRPr="0057498B" w:rsidRDefault="00210C73" w:rsidP="00CA4F01">
      <w:pPr>
        <w:pStyle w:val="Odstavecseseznamem"/>
        <w:numPr>
          <w:ilvl w:val="1"/>
          <w:numId w:val="8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umístění atrakcí, např. pouťových, prodejních míst nebo stánků, ukázek služeb apod. tak, aby byl umožněn průjezd požární techniky a aby nedošlo k zastav</w:t>
      </w:r>
      <w:r w:rsidR="00B50E59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e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ní nebo omezení přístupu k požárně bezpečnostním zařízením </w:t>
      </w:r>
      <w:r w:rsidR="009957D1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nebo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věcným prostředkům požární ochrany, které jsou potřebné k provedení zásahu</w:t>
      </w:r>
      <w:r w:rsidR="0082284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 např. požární hydranty,</w:t>
      </w:r>
    </w:p>
    <w:p w14:paraId="5064DE77" w14:textId="77777777" w:rsidR="00B50E59" w:rsidRPr="0057498B" w:rsidRDefault="00210C73" w:rsidP="00B50E59">
      <w:pPr>
        <w:pStyle w:val="Odstavecseseznamem"/>
        <w:numPr>
          <w:ilvl w:val="1"/>
          <w:numId w:val="8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rozmístění a umístění hasicích přístrojů v potřebném množství a druzích na vhodných a dobře </w:t>
      </w:r>
      <w:r w:rsidR="00B50E59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přístupných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místech</w:t>
      </w:r>
      <w:r w:rsidR="00B50E59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55BCF2C5" w14:textId="1DD21933" w:rsidR="00DE4FBD" w:rsidRPr="0057498B" w:rsidRDefault="00B50E59" w:rsidP="00B50E59">
      <w:pPr>
        <w:pStyle w:val="Odstavecseseznamem"/>
        <w:numPr>
          <w:ilvl w:val="0"/>
          <w:numId w:val="8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Pro případy, kdy </w:t>
      </w:r>
      <w:r w:rsidR="00210C73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účastník akce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(fyzická osoba)</w:t>
      </w:r>
      <w:r w:rsidR="00210C73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nedbá podmínek této </w:t>
      </w:r>
      <w:r w:rsidR="007F4C10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vyhlášky,</w:t>
      </w:r>
      <w:r w:rsidR="0057498B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210C73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pokynů organizátor</w:t>
      </w:r>
      <w:r w:rsidR="0057498B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a</w:t>
      </w:r>
      <w:r w:rsidR="00210C73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preventivní požární hlídky nebo členů pořadatelské služby týkající se požární bezpečnosti </w:t>
      </w:r>
      <w:r w:rsidR="0057498B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při</w:t>
      </w:r>
      <w:r w:rsidR="00210C73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akci, organizátor akce zabezpečí </w:t>
      </w:r>
      <w:r w:rsidR="0057498B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postup pro </w:t>
      </w:r>
      <w:r w:rsidR="00210C73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vyloučení takové fyzické osoby z účasti na akci</w:t>
      </w:r>
      <w:r w:rsidR="005238BE" w:rsidRPr="0057498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29DD436A" w14:textId="77777777" w:rsidR="00A81BAD" w:rsidRDefault="00A81BAD" w:rsidP="00A81BAD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6BF9B4F7" w14:textId="77777777" w:rsidR="00B5483C" w:rsidRDefault="00B5483C" w:rsidP="00A81BAD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59DFCAE1" w14:textId="6F2B521A" w:rsidR="0057498B" w:rsidRPr="00B353A7" w:rsidRDefault="0057498B" w:rsidP="00A81BAD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B353A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Článek 4</w:t>
      </w:r>
    </w:p>
    <w:p w14:paraId="4AFA4077" w14:textId="7B8E0AAC" w:rsidR="0057498B" w:rsidRPr="00B353A7" w:rsidRDefault="0057498B" w:rsidP="00A81BAD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B353A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Podmínky požární bezpečnosti ve zvláštních </w:t>
      </w:r>
      <w:r w:rsidR="00B353A7" w:rsidRPr="00B353A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případech</w:t>
      </w:r>
    </w:p>
    <w:p w14:paraId="3A89D17F" w14:textId="6CCA1300" w:rsidR="00DE4FBD" w:rsidRPr="004D6296" w:rsidRDefault="00210C73" w:rsidP="00B353A7">
      <w:pPr>
        <w:pStyle w:val="Odstavecseseznamem"/>
        <w:numPr>
          <w:ilvl w:val="0"/>
          <w:numId w:val="25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Při akcích ve vnitřním shromažďovacím prostoru, jejichž součástí </w:t>
      </w:r>
      <w:r w:rsidR="00097D04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(tj. součástí programu, produkce, pře</w:t>
      </w:r>
      <w:r w:rsidR="001900B9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</w:t>
      </w:r>
      <w:r w:rsidR="00097D04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stavení) 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jsou efekty s otevřeným ohněm nebo obdobným možným zdrojem zapálení</w:t>
      </w:r>
      <w:r w:rsidR="00097D04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(žhavé částice, žhavé předměty apod.)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musí být </w:t>
      </w:r>
      <w:r w:rsidR="00097D04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zajištěna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opatření</w:t>
      </w:r>
      <w:r w:rsidR="00F90CB6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F90CB6" w:rsidRPr="003B7AC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dle čl. 3 odst. </w:t>
      </w:r>
      <w:r w:rsidR="0082284C" w:rsidRPr="003B7AC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4</w:t>
      </w:r>
      <w:r w:rsidR="00F90CB6" w:rsidRPr="004D6296">
        <w:rPr>
          <w:rFonts w:eastAsia="Times New Roman" w:cstheme="minorHAnsi"/>
          <w:color w:val="FF0000"/>
          <w:kern w:val="0"/>
          <w:sz w:val="24"/>
          <w:szCs w:val="24"/>
          <w:lang w:eastAsia="cs-CZ"/>
          <w14:ligatures w14:val="none"/>
        </w:rPr>
        <w:t xml:space="preserve"> </w:t>
      </w:r>
      <w:r w:rsidR="00F90CB6" w:rsidRPr="004D629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této </w:t>
      </w:r>
      <w:r w:rsidR="003B7AC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vyhlášky</w:t>
      </w:r>
      <w:r w:rsidR="00F90CB6" w:rsidRPr="004D629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přičemž musí </w:t>
      </w:r>
      <w:r w:rsidR="00E87E64" w:rsidRPr="004D629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být brán zřetel i na úpravu hořlavých látek např. scénických staveb, dekoraci a textilií)</w:t>
      </w:r>
      <w:r w:rsidR="00017CEA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ke snížení jejich hořlavosti</w:t>
      </w:r>
      <w:r w:rsidR="003B7AC9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 bezpečné uhašení použitých prostředků</w:t>
      </w:r>
      <w:r w:rsidR="00017CEA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44A987AE" w14:textId="70B96512" w:rsidR="00DE4FBD" w:rsidRPr="004D6296" w:rsidRDefault="00210C73" w:rsidP="00CA4F01">
      <w:pPr>
        <w:pStyle w:val="Odstavecseseznamem"/>
        <w:numPr>
          <w:ilvl w:val="0"/>
          <w:numId w:val="25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Při akcích, jejichž součástí bude provádění činností, které by mohly představovat zvláštní rizika (např. pyrotechnické efekty, ohňostroje, plnění balónků plynem, elektrické zařízení ve stáncích), musí být </w:t>
      </w:r>
      <w:r w:rsidR="001900B9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dodržovány požadavky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zvláštních</w:t>
      </w:r>
      <w:r w:rsidR="001900B9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právních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předpisů</w:t>
      </w:r>
      <w:r w:rsidR="001900B9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; p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lnění balónků plyny, které ve směsi se vzduchem tvoří hořlavou nebo výbušnou směs, např. vodík a acetylén, je zakázáno.</w:t>
      </w:r>
    </w:p>
    <w:p w14:paraId="067EC7D9" w14:textId="42D8BB4F" w:rsidR="005238BE" w:rsidRPr="004D6296" w:rsidRDefault="00210C73" w:rsidP="00CA4F01">
      <w:pPr>
        <w:pStyle w:val="Odstavecseseznamem"/>
        <w:numPr>
          <w:ilvl w:val="0"/>
          <w:numId w:val="25"/>
        </w:numPr>
        <w:spacing w:before="100" w:beforeAutospacing="1"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Je-li součástí akce konání ohňostroje, </w:t>
      </w:r>
      <w:r w:rsidR="001900B9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popř. jiné pyrotechnické a obdobné efekty, 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musí </w:t>
      </w:r>
      <w:r w:rsidR="004D6296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organizátor akce 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nejméně 5 pracovních dnů před jejím zahájením t</w:t>
      </w:r>
      <w:r w:rsidR="004D6296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u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to skutečnost oznám</w:t>
      </w:r>
      <w:r w:rsidR="004D6296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it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na operační středisko územně příslušného Hasičského záchranného sboru </w:t>
      </w:r>
      <w:r w:rsidR="007627EC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Jihočeského 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kraje</w:t>
      </w:r>
      <w:r w:rsidR="004D6296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,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tel</w:t>
      </w:r>
      <w:r w:rsidR="004D6296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950 </w:t>
      </w:r>
      <w:r w:rsidR="007627EC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230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11</w:t>
      </w:r>
      <w:r w:rsidR="007627EC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1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, který může stanovit další podmínky </w:t>
      </w:r>
      <w:r w:rsidR="004D6296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pro tuto činnost 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nebo ji v odůvodněných případech</w:t>
      </w:r>
      <w:r w:rsidR="004D6296"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(např. v době zvýšeného nebezpečí vzniku požáru)</w:t>
      </w:r>
      <w:r w:rsidRPr="004D6296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zakázat.</w:t>
      </w:r>
    </w:p>
    <w:p w14:paraId="4FEA1D0F" w14:textId="77777777" w:rsidR="00480893" w:rsidRDefault="00480893" w:rsidP="00A81BAD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74B8D303" w14:textId="192C3496" w:rsidR="00BE4525" w:rsidRDefault="00210C73" w:rsidP="00A81BAD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5238B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Čl</w:t>
      </w:r>
      <w:r w:rsidR="005238B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ánek </w:t>
      </w:r>
      <w:r w:rsidR="00BE45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5 </w:t>
      </w:r>
    </w:p>
    <w:p w14:paraId="3B012B78" w14:textId="43DB0AC8" w:rsidR="0072191E" w:rsidRDefault="0072191E" w:rsidP="00A81BAD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Povinnosti účastníků akce</w:t>
      </w:r>
    </w:p>
    <w:p w14:paraId="67CA5FB9" w14:textId="3F72AD8C" w:rsidR="00BE4525" w:rsidRDefault="00BE4525" w:rsidP="00065F04">
      <w:pPr>
        <w:pStyle w:val="Odstavecseseznamem"/>
        <w:numPr>
          <w:ilvl w:val="2"/>
          <w:numId w:val="3"/>
        </w:numPr>
        <w:spacing w:before="100" w:beforeAutospacing="1" w:after="100" w:afterAutospacing="1" w:line="240" w:lineRule="exact"/>
        <w:ind w:left="71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Účinkující a účastníci akce musí dodržovat povinnosti vyplývající z předpisů o požární ochraně, této </w:t>
      </w:r>
      <w:r w:rsidR="003B7AC9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vyhlášky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 dalších pokynů organizátora akce vztahující se k zabezpečení požární ochrany, preventivní požární hlídky nebo členů pořadatelské služby týkající se požární bezpečnosti při akci.</w:t>
      </w:r>
    </w:p>
    <w:p w14:paraId="557E6D6F" w14:textId="2703AA94" w:rsidR="00BE4525" w:rsidRDefault="00BE4525" w:rsidP="00065F04">
      <w:pPr>
        <w:pStyle w:val="Odstavecseseznamem"/>
        <w:numPr>
          <w:ilvl w:val="2"/>
          <w:numId w:val="3"/>
        </w:numPr>
        <w:spacing w:before="100" w:beforeAutospacing="1" w:after="100" w:afterAutospacing="1" w:line="240" w:lineRule="exact"/>
        <w:ind w:left="71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Při akci nesmí její účastníci manipulovat s prostředky, které mohou způsobit hoření a v jeho důsledku ohrožení života, zdraví a majetku. V případě běžných předmětů (např. zapalovač)</w:t>
      </w:r>
      <w:r w:rsidR="00065F0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si musí fyzická osoba počínat tak, aby nedošlo k požáru.</w:t>
      </w:r>
    </w:p>
    <w:p w14:paraId="30420528" w14:textId="40FDEA00" w:rsidR="00065F04" w:rsidRPr="00480893" w:rsidRDefault="00065F04" w:rsidP="00480893">
      <w:pPr>
        <w:pStyle w:val="Odstavecseseznamem"/>
        <w:numPr>
          <w:ilvl w:val="2"/>
          <w:numId w:val="3"/>
        </w:numPr>
        <w:spacing w:before="100" w:beforeAutospacing="1" w:after="100" w:afterAutospacing="1" w:line="240" w:lineRule="exact"/>
        <w:ind w:left="71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Účastníkům akce je zakázáno přinášet nebo použít při akci látku nebo předmět, které by mohly být použity jako zápalný prostředek</w:t>
      </w:r>
      <w:r w:rsidR="00D46D9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(např. zápalná láhev)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6A1123A3" w14:textId="77777777" w:rsidR="00A81BAD" w:rsidRDefault="00A81BAD" w:rsidP="00263A57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345210C9" w14:textId="286FF4DA" w:rsidR="00BE4525" w:rsidRDefault="00065F04" w:rsidP="00263A57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Článek 6</w:t>
      </w:r>
    </w:p>
    <w:p w14:paraId="79E6C111" w14:textId="266CBB16" w:rsidR="00263A57" w:rsidRPr="0023581C" w:rsidRDefault="00263A57" w:rsidP="00263A57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23581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Sankce</w:t>
      </w:r>
    </w:p>
    <w:p w14:paraId="608C1AA3" w14:textId="5F3B61B9" w:rsidR="00263A57" w:rsidRDefault="00263A57" w:rsidP="00480893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23581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Porušení povinností stanovených touto </w:t>
      </w:r>
      <w:r w:rsidR="003B7AC9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vyhláškou</w:t>
      </w:r>
      <w:r w:rsidRPr="0023581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bude postihováno podle platných právních předpisů. </w:t>
      </w:r>
    </w:p>
    <w:p w14:paraId="0F82A1D1" w14:textId="77777777" w:rsidR="00A81BAD" w:rsidRDefault="00A81BAD" w:rsidP="00A81BAD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1A08ED7F" w14:textId="2E911941" w:rsidR="00065F04" w:rsidRDefault="00065F04" w:rsidP="00A81BAD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Článek 7</w:t>
      </w:r>
    </w:p>
    <w:p w14:paraId="20EF1925" w14:textId="0F3397C5" w:rsidR="00210C73" w:rsidRPr="005238BE" w:rsidRDefault="00065F04" w:rsidP="00A81BAD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Společná, přechodná a závěrečná ustanovení</w:t>
      </w:r>
      <w:r w:rsidR="00210C73" w:rsidRPr="005238B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732EEA6" w14:textId="79C68565" w:rsidR="00144552" w:rsidRPr="002F72FF" w:rsidRDefault="00D8457C" w:rsidP="002F72FF">
      <w:pPr>
        <w:numPr>
          <w:ilvl w:val="0"/>
          <w:numId w:val="29"/>
        </w:num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Organizátor akce je povinen předložit </w:t>
      </w:r>
      <w:r w:rsidR="002F72F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</w:t>
      </w:r>
      <w:r w:rsidR="00210C73" w:rsidRPr="005238B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bci </w:t>
      </w:r>
      <w:r w:rsidR="002F72F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Stachy</w:t>
      </w:r>
      <w:r w:rsidR="00210C73" w:rsidRPr="005238B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zprávu o </w:t>
      </w:r>
      <w:r w:rsidR="003B7AC9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způsobu </w:t>
      </w:r>
      <w:r w:rsidR="00210C73" w:rsidRPr="005238BE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zajištění podmínek požární bezpečnosti</w:t>
      </w:r>
      <w:r w:rsidR="003B7AC9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="002F72F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Zprávu</w:t>
      </w:r>
      <w:r w:rsidR="00210C73" w:rsidRPr="002F72F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předkládá nejméně 5 pracovních dnů před zahájením přípravných prací v předpokládaném místě </w:t>
      </w:r>
      <w:r w:rsidR="002F72F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jejího </w:t>
      </w:r>
      <w:r w:rsidR="00210C73" w:rsidRPr="002F72F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konání</w:t>
      </w:r>
      <w:r w:rsidR="0023581C" w:rsidRPr="002F72FF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49FB3A68" w14:textId="784B0F83" w:rsidR="00210C73" w:rsidRDefault="00210C73" w:rsidP="00CA4F01">
      <w:pPr>
        <w:numPr>
          <w:ilvl w:val="0"/>
          <w:numId w:val="29"/>
        </w:num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14455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Obec může rozhodnout o vyslovení nesouhlasu s konáním akce, není-li prokázáno zabezpečení podmínek stanovených předpisy o požární ochraně a touto </w:t>
      </w:r>
      <w:r w:rsidR="003609E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vyhláškou</w:t>
      </w:r>
      <w:r w:rsidRPr="0014455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. Odvolání proti tomuto rozhodnutí nemá odkladný účinek.</w:t>
      </w:r>
    </w:p>
    <w:p w14:paraId="53B4D701" w14:textId="77777777" w:rsidR="00B5483C" w:rsidRDefault="002F72FF" w:rsidP="00B5483C">
      <w:pPr>
        <w:numPr>
          <w:ilvl w:val="0"/>
          <w:numId w:val="29"/>
        </w:num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Prokazatelnost plnění povinností stanovených předpisy o požární ochraně a dodržování podmínek požární bezpečnosti </w:t>
      </w:r>
      <w:r w:rsidR="00D8457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stanovených touto </w:t>
      </w:r>
      <w:r w:rsidR="003609E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vyhláškou</w:t>
      </w:r>
      <w:r w:rsidR="00D8457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a na jejím základě 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zabezpečuje organizátor akce.</w:t>
      </w:r>
    </w:p>
    <w:p w14:paraId="62B31829" w14:textId="7FF42177" w:rsidR="00210C73" w:rsidRPr="00B5483C" w:rsidRDefault="00210C73" w:rsidP="00B5483C">
      <w:pPr>
        <w:spacing w:before="100" w:beforeAutospacing="1" w:after="100" w:afterAutospacing="1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B5483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Čl</w:t>
      </w:r>
      <w:r w:rsidR="0023581C" w:rsidRPr="00B5483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ánek</w:t>
      </w:r>
      <w:r w:rsidRPr="00B5483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480893" w:rsidRPr="00B5483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8</w:t>
      </w:r>
      <w:r w:rsidRPr="00B5483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BB2C4D3" w14:textId="77777777" w:rsidR="00210C73" w:rsidRPr="0023581C" w:rsidRDefault="00210C7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23581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Účinnost</w:t>
      </w:r>
    </w:p>
    <w:p w14:paraId="643583A7" w14:textId="6A3CB854" w:rsidR="00210C73" w:rsidRPr="0023581C" w:rsidRDefault="00210C7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23581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Tato </w:t>
      </w:r>
      <w:r w:rsidR="00E23D6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vyhláška</w:t>
      </w:r>
      <w:r w:rsidRPr="0023581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nabývá účinnosti</w:t>
      </w:r>
      <w:r w:rsidR="00B32A75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635823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1.1.2025.</w:t>
      </w:r>
    </w:p>
    <w:p w14:paraId="00DED57F" w14:textId="4B8D6A9D" w:rsidR="00DE4FBD" w:rsidRDefault="00210C7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210C73">
        <w:rPr>
          <w:rFonts w:ascii="Raleway" w:eastAsia="Times New Roman" w:hAnsi="Raleway" w:cs="Times New Roman"/>
          <w:color w:val="000000"/>
          <w:kern w:val="0"/>
          <w:sz w:val="27"/>
          <w:szCs w:val="27"/>
          <w:lang w:eastAsia="cs-CZ"/>
          <w14:ligatures w14:val="none"/>
        </w:rPr>
        <w:t> </w:t>
      </w:r>
    </w:p>
    <w:p w14:paraId="086C9365" w14:textId="2873E32C" w:rsidR="00210C73" w:rsidRPr="0023581C" w:rsidRDefault="00210C7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23581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060115F" w14:textId="77777777" w:rsidR="00020714" w:rsidRDefault="0002071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    </w:t>
      </w:r>
      <w:r w:rsidR="00210C73" w:rsidRPr="0023581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="0023581C" w:rsidRPr="0023581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……………………………………………………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                              …………………………………………………..</w:t>
      </w:r>
    </w:p>
    <w:p w14:paraId="3E875B06" w14:textId="4D1C7059" w:rsidR="00020714" w:rsidRDefault="00020714" w:rsidP="00020714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                    </w:t>
      </w:r>
      <w:r w:rsidR="0023581C" w:rsidRPr="0023581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Ing. Petr Lampa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Josef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Trázník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08ADFB7" w14:textId="76D22936" w:rsidR="0023581C" w:rsidRPr="00144552" w:rsidRDefault="00020714" w:rsidP="00020714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                           s</w:t>
      </w:r>
      <w:r w:rsidR="0023581C" w:rsidRPr="0014455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tarosta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  <w:t xml:space="preserve">           místostarosta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ab/>
      </w:r>
    </w:p>
    <w:p w14:paraId="0B578EB1" w14:textId="77777777" w:rsidR="00DE4FBD" w:rsidRDefault="00DE4FBD" w:rsidP="00CA4F01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71E2282B" w14:textId="602461E3" w:rsidR="00210C73" w:rsidRPr="00144552" w:rsidRDefault="00210C73" w:rsidP="00CA4F01">
      <w:pPr>
        <w:spacing w:after="120" w:line="240" w:lineRule="exact"/>
        <w:jc w:val="both"/>
        <w:textAlignment w:val="baseline"/>
        <w:rPr>
          <w:rFonts w:ascii="Raleway" w:eastAsia="Times New Roman" w:hAnsi="Raleway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23581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Příloha č. 1</w:t>
      </w:r>
    </w:p>
    <w:p w14:paraId="09E31607" w14:textId="6FEEBA22" w:rsidR="00210C73" w:rsidRPr="0023581C" w:rsidRDefault="00210C7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bookmarkStart w:id="0" w:name="_Hlk182995708"/>
      <w:r w:rsidRPr="0023581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</w:t>
      </w:r>
      <w:r w:rsidR="0059367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drobnosti, které uplatní organizátor akce při zřizování preventivní požární hlídky a stanovení jejich úkolů</w:t>
      </w:r>
      <w:r w:rsidRPr="0023581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bookmarkEnd w:id="0"/>
    <w:p w14:paraId="03C84C39" w14:textId="05EA6DA0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Příloha č. 2</w:t>
      </w:r>
    </w:p>
    <w:p w14:paraId="24147D9F" w14:textId="66530317" w:rsidR="00593672" w:rsidRP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Podrobnosti k provádění kontrol</w:t>
      </w:r>
    </w:p>
    <w:p w14:paraId="67D0D385" w14:textId="1C8CF300" w:rsidR="00210C73" w:rsidRPr="0023581C" w:rsidRDefault="00210C7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23581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Příloha č. </w:t>
      </w:r>
      <w:r w:rsidR="005936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3</w:t>
      </w:r>
    </w:p>
    <w:p w14:paraId="0F07C28E" w14:textId="77777777" w:rsidR="003609E2" w:rsidRPr="003609E2" w:rsidRDefault="003609E2" w:rsidP="003609E2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3609E2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Obsah identifikační karty prostoru (stavby) pro akce pořádané podle článku 3 odst. 2</w:t>
      </w:r>
    </w:p>
    <w:p w14:paraId="6D70BDBF" w14:textId="2E36E417" w:rsidR="00480893" w:rsidRDefault="0048089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C8EDA17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35AA1BD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924EFEC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17B675E7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22EED096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1C7F275B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5E06D64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6394B978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D7F8808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A0EFDAB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16115BAA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2E17FCF3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3D938A0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4A9B7679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712D0C2D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7251DE3E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14069CF1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A8257D3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28D66CDE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89395AC" w14:textId="77777777" w:rsidR="00593672" w:rsidRDefault="00593672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0C1F45C" w14:textId="77777777" w:rsidR="00B5483C" w:rsidRDefault="00B5483C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95215D4" w14:textId="77777777" w:rsidR="00B5483C" w:rsidRDefault="00B5483C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615B4898" w14:textId="77777777" w:rsidR="00DD6693" w:rsidRDefault="00DD6693" w:rsidP="00DD6693">
      <w:pPr>
        <w:pStyle w:val="Odstavecseseznamem"/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4D60FA21" w14:textId="77777777" w:rsidR="00DD6693" w:rsidRDefault="00DD6693" w:rsidP="00DD6693">
      <w:pPr>
        <w:pStyle w:val="Odstavecseseznamem"/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1BE64D67" w14:textId="77777777" w:rsidR="00AD3C5D" w:rsidRDefault="00AD3C5D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7B911C9B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628C00D1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48C53EDC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4D0DF347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7AD7701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6524257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6AEBCB8F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B7A95ED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547DB524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55223A02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48A8BD08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29F9DC13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535042CD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5A84A8AA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41E7C69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6F5FC991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ECE2ED0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5D48893C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3C8F75C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6C4F167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5B7122C7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023B532B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4483340E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1C598F1E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10629D46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2B90374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1805C8E5" w14:textId="77777777" w:rsidR="00653B54" w:rsidRDefault="00653B54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29011D41" w14:textId="77777777" w:rsidR="00A01A58" w:rsidRDefault="00A01A58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37239AA6" w14:textId="0A86D1D6" w:rsidR="00210C73" w:rsidRPr="0023581C" w:rsidRDefault="00635823" w:rsidP="00CA4F0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sectPr w:rsidR="00210C73" w:rsidRPr="0023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52A"/>
    <w:multiLevelType w:val="multilevel"/>
    <w:tmpl w:val="A1F8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  <w:u w:val="none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63E2D"/>
    <w:multiLevelType w:val="multilevel"/>
    <w:tmpl w:val="1004B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33857"/>
    <w:multiLevelType w:val="multilevel"/>
    <w:tmpl w:val="CB1C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95880"/>
    <w:multiLevelType w:val="multilevel"/>
    <w:tmpl w:val="DD70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B0CAA"/>
    <w:multiLevelType w:val="multilevel"/>
    <w:tmpl w:val="082C03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A4455"/>
    <w:multiLevelType w:val="multilevel"/>
    <w:tmpl w:val="75D84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401ED"/>
    <w:multiLevelType w:val="multilevel"/>
    <w:tmpl w:val="338E53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35A17"/>
    <w:multiLevelType w:val="multilevel"/>
    <w:tmpl w:val="BB72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21044"/>
    <w:multiLevelType w:val="multilevel"/>
    <w:tmpl w:val="4FEEEF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268D4"/>
    <w:multiLevelType w:val="hybridMultilevel"/>
    <w:tmpl w:val="81CE3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F5A2B"/>
    <w:multiLevelType w:val="multilevel"/>
    <w:tmpl w:val="E7985FE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E321A"/>
    <w:multiLevelType w:val="hybridMultilevel"/>
    <w:tmpl w:val="53A08B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F2DFA"/>
    <w:multiLevelType w:val="multilevel"/>
    <w:tmpl w:val="06C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C1DBA"/>
    <w:multiLevelType w:val="hybridMultilevel"/>
    <w:tmpl w:val="DBA4C9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B7B26"/>
    <w:multiLevelType w:val="hybridMultilevel"/>
    <w:tmpl w:val="621C55FE"/>
    <w:lvl w:ilvl="0" w:tplc="C8BA0A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C374B16"/>
    <w:multiLevelType w:val="multilevel"/>
    <w:tmpl w:val="7A966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CB60DC"/>
    <w:multiLevelType w:val="multilevel"/>
    <w:tmpl w:val="402070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31ECE"/>
    <w:multiLevelType w:val="multilevel"/>
    <w:tmpl w:val="E60E5A2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C62C96"/>
    <w:multiLevelType w:val="hybridMultilevel"/>
    <w:tmpl w:val="592A00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E1C12"/>
    <w:multiLevelType w:val="multilevel"/>
    <w:tmpl w:val="3A4A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7F2493"/>
    <w:multiLevelType w:val="multilevel"/>
    <w:tmpl w:val="AEEE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D1FCA"/>
    <w:multiLevelType w:val="multilevel"/>
    <w:tmpl w:val="7C2AF6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02741"/>
    <w:multiLevelType w:val="multilevel"/>
    <w:tmpl w:val="377E30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536E0E"/>
    <w:multiLevelType w:val="multilevel"/>
    <w:tmpl w:val="8AEC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DD15BE"/>
    <w:multiLevelType w:val="hybridMultilevel"/>
    <w:tmpl w:val="041642D6"/>
    <w:lvl w:ilvl="0" w:tplc="6066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7C21F8"/>
    <w:multiLevelType w:val="multilevel"/>
    <w:tmpl w:val="1C18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26197E"/>
    <w:multiLevelType w:val="multilevel"/>
    <w:tmpl w:val="61F434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B66FD0"/>
    <w:multiLevelType w:val="multilevel"/>
    <w:tmpl w:val="AC027E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8507F7"/>
    <w:multiLevelType w:val="multilevel"/>
    <w:tmpl w:val="94C6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41114"/>
    <w:multiLevelType w:val="multilevel"/>
    <w:tmpl w:val="D938D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6244E"/>
    <w:multiLevelType w:val="multilevel"/>
    <w:tmpl w:val="E140F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B92E13"/>
    <w:multiLevelType w:val="multilevel"/>
    <w:tmpl w:val="7CDA4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954A58"/>
    <w:multiLevelType w:val="multilevel"/>
    <w:tmpl w:val="B262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09139F"/>
    <w:multiLevelType w:val="multilevel"/>
    <w:tmpl w:val="F392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AF6A16"/>
    <w:multiLevelType w:val="multilevel"/>
    <w:tmpl w:val="3490E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962C81"/>
    <w:multiLevelType w:val="multilevel"/>
    <w:tmpl w:val="3592A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6F600B"/>
    <w:multiLevelType w:val="multilevel"/>
    <w:tmpl w:val="AD30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37F71"/>
    <w:multiLevelType w:val="multilevel"/>
    <w:tmpl w:val="CE2E6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1C59F6"/>
    <w:multiLevelType w:val="multilevel"/>
    <w:tmpl w:val="FA6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50537">
    <w:abstractNumId w:val="19"/>
  </w:num>
  <w:num w:numId="2" w16cid:durableId="903416138">
    <w:abstractNumId w:val="25"/>
  </w:num>
  <w:num w:numId="3" w16cid:durableId="853151793">
    <w:abstractNumId w:val="0"/>
  </w:num>
  <w:num w:numId="4" w16cid:durableId="876087565">
    <w:abstractNumId w:val="29"/>
  </w:num>
  <w:num w:numId="5" w16cid:durableId="1595161904">
    <w:abstractNumId w:val="33"/>
  </w:num>
  <w:num w:numId="6" w16cid:durableId="160050465">
    <w:abstractNumId w:val="5"/>
  </w:num>
  <w:num w:numId="7" w16cid:durableId="393310207">
    <w:abstractNumId w:val="36"/>
  </w:num>
  <w:num w:numId="8" w16cid:durableId="589049878">
    <w:abstractNumId w:val="23"/>
  </w:num>
  <w:num w:numId="9" w16cid:durableId="1659458674">
    <w:abstractNumId w:val="35"/>
  </w:num>
  <w:num w:numId="10" w16cid:durableId="2135513873">
    <w:abstractNumId w:val="34"/>
  </w:num>
  <w:num w:numId="11" w16cid:durableId="1295598427">
    <w:abstractNumId w:val="22"/>
  </w:num>
  <w:num w:numId="12" w16cid:durableId="1225215334">
    <w:abstractNumId w:val="16"/>
  </w:num>
  <w:num w:numId="13" w16cid:durableId="1261372184">
    <w:abstractNumId w:val="38"/>
  </w:num>
  <w:num w:numId="14" w16cid:durableId="986663442">
    <w:abstractNumId w:val="31"/>
  </w:num>
  <w:num w:numId="15" w16cid:durableId="915897219">
    <w:abstractNumId w:val="21"/>
  </w:num>
  <w:num w:numId="16" w16cid:durableId="737363634">
    <w:abstractNumId w:val="10"/>
  </w:num>
  <w:num w:numId="17" w16cid:durableId="1079640117">
    <w:abstractNumId w:val="28"/>
  </w:num>
  <w:num w:numId="18" w16cid:durableId="1590918575">
    <w:abstractNumId w:val="7"/>
  </w:num>
  <w:num w:numId="19" w16cid:durableId="1301349906">
    <w:abstractNumId w:val="37"/>
  </w:num>
  <w:num w:numId="20" w16cid:durableId="312687424">
    <w:abstractNumId w:val="1"/>
  </w:num>
  <w:num w:numId="21" w16cid:durableId="60446869">
    <w:abstractNumId w:val="17"/>
  </w:num>
  <w:num w:numId="22" w16cid:durableId="751514520">
    <w:abstractNumId w:val="8"/>
  </w:num>
  <w:num w:numId="23" w16cid:durableId="1254555988">
    <w:abstractNumId w:val="4"/>
  </w:num>
  <w:num w:numId="24" w16cid:durableId="1520964945">
    <w:abstractNumId w:val="12"/>
  </w:num>
  <w:num w:numId="25" w16cid:durableId="1616718699">
    <w:abstractNumId w:val="2"/>
  </w:num>
  <w:num w:numId="26" w16cid:durableId="293951344">
    <w:abstractNumId w:val="26"/>
  </w:num>
  <w:num w:numId="27" w16cid:durableId="1336105852">
    <w:abstractNumId w:val="6"/>
  </w:num>
  <w:num w:numId="28" w16cid:durableId="2005820312">
    <w:abstractNumId w:val="27"/>
  </w:num>
  <w:num w:numId="29" w16cid:durableId="162860440">
    <w:abstractNumId w:val="3"/>
  </w:num>
  <w:num w:numId="30" w16cid:durableId="628974921">
    <w:abstractNumId w:val="15"/>
  </w:num>
  <w:num w:numId="31" w16cid:durableId="1003119364">
    <w:abstractNumId w:val="30"/>
  </w:num>
  <w:num w:numId="32" w16cid:durableId="1206526973">
    <w:abstractNumId w:val="20"/>
  </w:num>
  <w:num w:numId="33" w16cid:durableId="193421580">
    <w:abstractNumId w:val="32"/>
  </w:num>
  <w:num w:numId="34" w16cid:durableId="1881359079">
    <w:abstractNumId w:val="14"/>
  </w:num>
  <w:num w:numId="35" w16cid:durableId="1815826164">
    <w:abstractNumId w:val="9"/>
  </w:num>
  <w:num w:numId="36" w16cid:durableId="92867425">
    <w:abstractNumId w:val="24"/>
  </w:num>
  <w:num w:numId="37" w16cid:durableId="971639682">
    <w:abstractNumId w:val="18"/>
  </w:num>
  <w:num w:numId="38" w16cid:durableId="725253187">
    <w:abstractNumId w:val="13"/>
  </w:num>
  <w:num w:numId="39" w16cid:durableId="20836046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73"/>
    <w:rsid w:val="00014CB7"/>
    <w:rsid w:val="00017CEA"/>
    <w:rsid w:val="00020714"/>
    <w:rsid w:val="00032164"/>
    <w:rsid w:val="000445B2"/>
    <w:rsid w:val="00065F04"/>
    <w:rsid w:val="00067E8C"/>
    <w:rsid w:val="0009057B"/>
    <w:rsid w:val="00097D04"/>
    <w:rsid w:val="000A21B1"/>
    <w:rsid w:val="000B24AA"/>
    <w:rsid w:val="000C30AE"/>
    <w:rsid w:val="000C4E54"/>
    <w:rsid w:val="000D48A0"/>
    <w:rsid w:val="000E063C"/>
    <w:rsid w:val="000E50A5"/>
    <w:rsid w:val="00107395"/>
    <w:rsid w:val="00144552"/>
    <w:rsid w:val="00182B0E"/>
    <w:rsid w:val="001900B9"/>
    <w:rsid w:val="001C70A3"/>
    <w:rsid w:val="001E0E20"/>
    <w:rsid w:val="001F480D"/>
    <w:rsid w:val="00210C73"/>
    <w:rsid w:val="002202A8"/>
    <w:rsid w:val="00230488"/>
    <w:rsid w:val="0023581C"/>
    <w:rsid w:val="00241F72"/>
    <w:rsid w:val="0024298A"/>
    <w:rsid w:val="00263A57"/>
    <w:rsid w:val="002742E7"/>
    <w:rsid w:val="002809A8"/>
    <w:rsid w:val="002F72FF"/>
    <w:rsid w:val="0030480F"/>
    <w:rsid w:val="003119A6"/>
    <w:rsid w:val="00332C8B"/>
    <w:rsid w:val="0033306D"/>
    <w:rsid w:val="00334461"/>
    <w:rsid w:val="0034626D"/>
    <w:rsid w:val="003609E2"/>
    <w:rsid w:val="00382B52"/>
    <w:rsid w:val="003A2974"/>
    <w:rsid w:val="003A6BB3"/>
    <w:rsid w:val="003B022B"/>
    <w:rsid w:val="003B7AC9"/>
    <w:rsid w:val="003D25BF"/>
    <w:rsid w:val="003F755D"/>
    <w:rsid w:val="00403567"/>
    <w:rsid w:val="00406220"/>
    <w:rsid w:val="00416601"/>
    <w:rsid w:val="004267F5"/>
    <w:rsid w:val="0045502F"/>
    <w:rsid w:val="00462340"/>
    <w:rsid w:val="004678F4"/>
    <w:rsid w:val="00471B4B"/>
    <w:rsid w:val="00480893"/>
    <w:rsid w:val="004D1D65"/>
    <w:rsid w:val="004D6296"/>
    <w:rsid w:val="005238BE"/>
    <w:rsid w:val="005263B8"/>
    <w:rsid w:val="00547A9C"/>
    <w:rsid w:val="00565F53"/>
    <w:rsid w:val="0057498B"/>
    <w:rsid w:val="00593672"/>
    <w:rsid w:val="005E135C"/>
    <w:rsid w:val="005F1776"/>
    <w:rsid w:val="00622A65"/>
    <w:rsid w:val="00635823"/>
    <w:rsid w:val="00653B54"/>
    <w:rsid w:val="00670F6B"/>
    <w:rsid w:val="00691AAF"/>
    <w:rsid w:val="006B16D6"/>
    <w:rsid w:val="0071383B"/>
    <w:rsid w:val="00715C5F"/>
    <w:rsid w:val="0072191E"/>
    <w:rsid w:val="00756CF0"/>
    <w:rsid w:val="007627EC"/>
    <w:rsid w:val="00764AF0"/>
    <w:rsid w:val="00786D76"/>
    <w:rsid w:val="007917F9"/>
    <w:rsid w:val="007F4C10"/>
    <w:rsid w:val="0082284C"/>
    <w:rsid w:val="008247CF"/>
    <w:rsid w:val="00825D86"/>
    <w:rsid w:val="008A10CF"/>
    <w:rsid w:val="008F5894"/>
    <w:rsid w:val="00921A5C"/>
    <w:rsid w:val="009223EB"/>
    <w:rsid w:val="00937422"/>
    <w:rsid w:val="00970EAB"/>
    <w:rsid w:val="009819B1"/>
    <w:rsid w:val="009957D1"/>
    <w:rsid w:val="009B0911"/>
    <w:rsid w:val="009C39EA"/>
    <w:rsid w:val="009F2BDB"/>
    <w:rsid w:val="00A01A58"/>
    <w:rsid w:val="00A13651"/>
    <w:rsid w:val="00A41B34"/>
    <w:rsid w:val="00A80C36"/>
    <w:rsid w:val="00A81BAD"/>
    <w:rsid w:val="00AD3C5D"/>
    <w:rsid w:val="00AF2A49"/>
    <w:rsid w:val="00B32A75"/>
    <w:rsid w:val="00B33075"/>
    <w:rsid w:val="00B353A7"/>
    <w:rsid w:val="00B50E59"/>
    <w:rsid w:val="00B54421"/>
    <w:rsid w:val="00B5483C"/>
    <w:rsid w:val="00BE4525"/>
    <w:rsid w:val="00C41F54"/>
    <w:rsid w:val="00C45B7D"/>
    <w:rsid w:val="00C56795"/>
    <w:rsid w:val="00C8290B"/>
    <w:rsid w:val="00C92300"/>
    <w:rsid w:val="00C9428D"/>
    <w:rsid w:val="00CA4F01"/>
    <w:rsid w:val="00CC400E"/>
    <w:rsid w:val="00D30FDC"/>
    <w:rsid w:val="00D35B16"/>
    <w:rsid w:val="00D46D94"/>
    <w:rsid w:val="00D654E6"/>
    <w:rsid w:val="00D8457C"/>
    <w:rsid w:val="00DC3885"/>
    <w:rsid w:val="00DD6693"/>
    <w:rsid w:val="00DE1BD5"/>
    <w:rsid w:val="00DE4FBD"/>
    <w:rsid w:val="00E11C1C"/>
    <w:rsid w:val="00E23D62"/>
    <w:rsid w:val="00E32295"/>
    <w:rsid w:val="00E4723D"/>
    <w:rsid w:val="00E87E64"/>
    <w:rsid w:val="00F678AB"/>
    <w:rsid w:val="00F90CB6"/>
    <w:rsid w:val="00FB4B55"/>
    <w:rsid w:val="00FD5E3A"/>
    <w:rsid w:val="00FD6757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2084"/>
  <w15:chartTrackingRefBased/>
  <w15:docId w15:val="{2A26B39D-EAFF-4170-9E35-5A8D2E8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9559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6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1705-983C-4317-9B8F-87DA84DE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6</Pages>
  <Words>1967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Účetní-Lenovo</dc:creator>
  <cp:keywords/>
  <dc:description/>
  <cp:lastModifiedBy>Účetní-Lenovo</cp:lastModifiedBy>
  <cp:revision>15</cp:revision>
  <cp:lastPrinted>2024-11-25T07:07:00Z</cp:lastPrinted>
  <dcterms:created xsi:type="dcterms:W3CDTF">2024-11-13T11:19:00Z</dcterms:created>
  <dcterms:modified xsi:type="dcterms:W3CDTF">2024-12-31T07:09:00Z</dcterms:modified>
</cp:coreProperties>
</file>