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74" w:rsidRPr="003E7CD3" w:rsidRDefault="00A304B6" w:rsidP="006F677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EF71749" wp14:editId="185153B9">
            <wp:extent cx="857250" cy="952500"/>
            <wp:effectExtent l="0" t="0" r="0" b="0"/>
            <wp:docPr id="1" name="obrázek 3" descr="znak obce Kou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Kou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 xml:space="preserve"> </w:t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ab/>
      </w:r>
      <w:r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ab/>
        <w:t>OBEC  KOUTY</w:t>
      </w:r>
      <w:r w:rsidR="006F6774">
        <w:rPr>
          <w:rFonts w:ascii="Arial" w:eastAsia="Times New Roman" w:hAnsi="Arial" w:cs="Arial"/>
          <w:b/>
          <w:color w:val="000000"/>
          <w:sz w:val="48"/>
          <w:szCs w:val="48"/>
          <w:lang w:eastAsia="cs-CZ"/>
        </w:rPr>
        <w:tab/>
      </w:r>
    </w:p>
    <w:p w:rsidR="00A304B6" w:rsidRDefault="00A304B6" w:rsidP="006F677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:rsidR="006F6774" w:rsidRPr="004D123F" w:rsidRDefault="006F6774" w:rsidP="006F677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:rsidR="006F6774" w:rsidRPr="004D123F" w:rsidRDefault="006F6774" w:rsidP="006F6774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č. </w:t>
      </w:r>
      <w:r w:rsidR="005131B0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</w:t>
      </w:r>
      <w:r w:rsidRPr="004D123F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/2017,</w:t>
      </w:r>
    </w:p>
    <w:p w:rsidR="006F6774" w:rsidRPr="004D123F" w:rsidRDefault="006F6774" w:rsidP="006F67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stanoví část společného školského obvodu </w:t>
      </w:r>
    </w:p>
    <w:p w:rsidR="006F6774" w:rsidRPr="004D123F" w:rsidRDefault="006F6774" w:rsidP="006F677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sz w:val="24"/>
          <w:szCs w:val="24"/>
          <w:lang w:eastAsia="cs-CZ"/>
        </w:rPr>
        <w:t>Základní školy a Mateřské školy Kamenice.</w:t>
      </w:r>
    </w:p>
    <w:p w:rsidR="006F6774" w:rsidRPr="004D123F" w:rsidRDefault="006F6774" w:rsidP="006F67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F6774" w:rsidRPr="004D123F" w:rsidRDefault="006F6774" w:rsidP="006F67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6F6774" w:rsidRPr="004D123F" w:rsidRDefault="006F6774" w:rsidP="006F677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obce </w:t>
      </w:r>
      <w:r w:rsidR="00A304B6">
        <w:rPr>
          <w:rFonts w:ascii="Arial" w:eastAsia="Times New Roman" w:hAnsi="Arial" w:cs="Arial"/>
          <w:sz w:val="24"/>
          <w:szCs w:val="24"/>
          <w:lang w:eastAsia="cs-CZ"/>
        </w:rPr>
        <w:t>Kouty</w:t>
      </w:r>
      <w:r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 se na svém zasedání </w:t>
      </w:r>
      <w:r w:rsidRPr="005131B0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r w:rsidR="005131B0">
        <w:rPr>
          <w:rFonts w:ascii="Arial" w:eastAsia="Times New Roman" w:hAnsi="Arial" w:cs="Arial"/>
          <w:sz w:val="24"/>
          <w:szCs w:val="24"/>
          <w:lang w:eastAsia="cs-CZ"/>
        </w:rPr>
        <w:t>12.07.2017</w:t>
      </w:r>
      <w:r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 usnesením </w:t>
      </w:r>
      <w:r w:rsidRPr="005131B0">
        <w:rPr>
          <w:rFonts w:ascii="Arial" w:eastAsia="Times New Roman" w:hAnsi="Arial" w:cs="Arial"/>
          <w:sz w:val="24"/>
          <w:szCs w:val="24"/>
          <w:lang w:eastAsia="cs-CZ"/>
        </w:rPr>
        <w:t xml:space="preserve">č. </w:t>
      </w:r>
      <w:r w:rsidR="005131B0">
        <w:rPr>
          <w:rFonts w:ascii="Arial" w:eastAsia="Times New Roman" w:hAnsi="Arial" w:cs="Arial"/>
          <w:sz w:val="24"/>
          <w:szCs w:val="24"/>
          <w:lang w:eastAsia="cs-CZ"/>
        </w:rPr>
        <w:t xml:space="preserve">34/3/2017 </w:t>
      </w:r>
      <w:r w:rsidRPr="004D123F">
        <w:rPr>
          <w:rFonts w:ascii="Arial" w:eastAsia="Times New Roman" w:hAnsi="Arial" w:cs="Arial"/>
          <w:sz w:val="24"/>
          <w:szCs w:val="24"/>
          <w:lang w:eastAsia="cs-CZ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6F6774" w:rsidRPr="004D123F" w:rsidRDefault="006F6774" w:rsidP="006F6774">
      <w:pPr>
        <w:spacing w:after="0" w:line="240" w:lineRule="auto"/>
        <w:ind w:left="708" w:right="23" w:firstLine="357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6F6774" w:rsidRPr="004D123F" w:rsidRDefault="006F6774" w:rsidP="006F677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:rsidR="006F6774" w:rsidRPr="004D123F" w:rsidRDefault="006F6774" w:rsidP="006F6774">
      <w:pPr>
        <w:keepNext/>
        <w:spacing w:after="12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Stanovení školského obvodu </w:t>
      </w:r>
    </w:p>
    <w:p w:rsidR="006F6774" w:rsidRPr="004D123F" w:rsidRDefault="006F6774" w:rsidP="006F6774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Na základě uzavřené dohody obce </w:t>
      </w:r>
      <w:r w:rsidR="00A304B6">
        <w:rPr>
          <w:rFonts w:ascii="Arial" w:eastAsia="Times New Roman" w:hAnsi="Arial" w:cs="Arial"/>
          <w:sz w:val="24"/>
          <w:szCs w:val="24"/>
          <w:lang w:eastAsia="cs-CZ"/>
        </w:rPr>
        <w:t xml:space="preserve">Kouty </w:t>
      </w:r>
      <w:r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s městysem Kamenice o vytvoření společného školského obvodu </w:t>
      </w:r>
      <w:r w:rsidR="008A52BA"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Základní </w:t>
      </w:r>
      <w:r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školy a </w:t>
      </w:r>
      <w:r w:rsidR="008A52BA" w:rsidRPr="004D123F">
        <w:rPr>
          <w:rFonts w:ascii="Arial" w:eastAsia="Times New Roman" w:hAnsi="Arial" w:cs="Arial"/>
          <w:sz w:val="24"/>
          <w:szCs w:val="24"/>
          <w:lang w:eastAsia="cs-CZ"/>
        </w:rPr>
        <w:t xml:space="preserve">Mateřské </w:t>
      </w:r>
      <w:r w:rsidR="00A304B6">
        <w:rPr>
          <w:rFonts w:ascii="Arial" w:eastAsia="Times New Roman" w:hAnsi="Arial" w:cs="Arial"/>
          <w:sz w:val="24"/>
          <w:szCs w:val="24"/>
          <w:lang w:eastAsia="cs-CZ"/>
        </w:rPr>
        <w:t>školy Kamenice, okr. </w:t>
      </w:r>
      <w:r w:rsidRPr="004D123F">
        <w:rPr>
          <w:rFonts w:ascii="Arial" w:eastAsia="Times New Roman" w:hAnsi="Arial" w:cs="Arial"/>
          <w:sz w:val="24"/>
          <w:szCs w:val="24"/>
          <w:lang w:eastAsia="cs-CZ"/>
        </w:rPr>
        <w:t>Jihlava, příspěvkové organizace, zřízené městysem Kamenice se stanovuje, že část společného školského obvodu pro druhý stupeň základního vzdělávání (6. až. 9. ročník) tvoří celé území obce</w:t>
      </w:r>
      <w:r w:rsidR="00A304B6">
        <w:rPr>
          <w:rFonts w:ascii="Arial" w:eastAsia="Times New Roman" w:hAnsi="Arial" w:cs="Arial"/>
          <w:sz w:val="24"/>
          <w:szCs w:val="24"/>
          <w:lang w:eastAsia="cs-CZ"/>
        </w:rPr>
        <w:t xml:space="preserve"> Kouty.</w:t>
      </w:r>
    </w:p>
    <w:p w:rsidR="006F6774" w:rsidRPr="004D123F" w:rsidRDefault="006F6774" w:rsidP="006F67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F6774" w:rsidRPr="004D123F" w:rsidRDefault="006F6774" w:rsidP="006F677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Čl. 2</w:t>
      </w:r>
    </w:p>
    <w:p w:rsidR="006F6774" w:rsidRPr="004D123F" w:rsidRDefault="006F6774" w:rsidP="006F6774">
      <w:pPr>
        <w:keepNext/>
        <w:spacing w:after="12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</w:t>
      </w:r>
    </w:p>
    <w:p w:rsidR="006F6774" w:rsidRPr="004D123F" w:rsidRDefault="006F6774" w:rsidP="006F6774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D123F">
        <w:rPr>
          <w:rFonts w:ascii="Arial" w:eastAsia="Times New Roman" w:hAnsi="Arial" w:cs="Arial"/>
          <w:sz w:val="24"/>
          <w:szCs w:val="24"/>
          <w:lang w:eastAsia="cs-CZ"/>
        </w:rPr>
        <w:t>Tato vyhláška nabývá účinnosti patnáctým dnem po dni jejího vyhlášení.</w:t>
      </w:r>
    </w:p>
    <w:p w:rsidR="006F6774" w:rsidRPr="004D123F" w:rsidRDefault="006F6774" w:rsidP="006F6774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6F6774" w:rsidRPr="003E7CD3" w:rsidRDefault="006F6774" w:rsidP="006F6774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6F6774" w:rsidRPr="003E7CD3" w:rsidRDefault="006F6774" w:rsidP="006F6774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:rsidR="006F6774" w:rsidRPr="003E7CD3" w:rsidRDefault="006F6774" w:rsidP="006F6774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3E7CD3">
        <w:rPr>
          <w:rFonts w:ascii="Arial" w:eastAsia="Times New Roman" w:hAnsi="Arial" w:cs="Arial"/>
          <w:i/>
          <w:sz w:val="24"/>
          <w:szCs w:val="24"/>
          <w:lang w:eastAsia="cs-CZ"/>
        </w:rPr>
        <w:t>...................................</w:t>
      </w:r>
      <w:r w:rsidRPr="003E7CD3">
        <w:rPr>
          <w:rFonts w:ascii="Arial" w:eastAsia="Times New Roman" w:hAnsi="Arial" w:cs="Arial"/>
          <w:i/>
          <w:sz w:val="24"/>
          <w:szCs w:val="24"/>
          <w:lang w:eastAsia="cs-CZ"/>
        </w:rPr>
        <w:tab/>
        <w:t>..........................................</w:t>
      </w:r>
    </w:p>
    <w:p w:rsidR="004D123F" w:rsidRDefault="00DD5437" w:rsidP="006F6774">
      <w:pPr>
        <w:tabs>
          <w:tab w:val="left" w:pos="1080"/>
          <w:tab w:val="left" w:pos="6663"/>
        </w:tabs>
        <w:spacing w:after="0" w:line="264" w:lineRule="auto"/>
        <w:ind w:firstLine="284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Zdeněk Zimola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Miloš Dočekal</w:t>
      </w:r>
    </w:p>
    <w:p w:rsidR="006F6774" w:rsidRPr="003E7CD3" w:rsidRDefault="006F6774" w:rsidP="006F6774">
      <w:pPr>
        <w:tabs>
          <w:tab w:val="left" w:pos="1080"/>
          <w:tab w:val="left" w:pos="6663"/>
        </w:tabs>
        <w:spacing w:after="0" w:line="264" w:lineRule="auto"/>
        <w:ind w:firstLine="284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místostarost</w:t>
      </w:r>
      <w:r w:rsidRPr="003E7CD3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3E7CD3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starosta</w:t>
      </w:r>
      <w:r w:rsidRPr="003E7CD3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6F6774" w:rsidRPr="003E7CD3" w:rsidRDefault="006F6774" w:rsidP="006F6774">
      <w:pPr>
        <w:tabs>
          <w:tab w:val="left" w:pos="1080"/>
          <w:tab w:val="left" w:pos="6663"/>
        </w:tabs>
        <w:spacing w:after="0" w:line="264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F6774" w:rsidRPr="003E7CD3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Pr="003E7CD3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Pr="003E7CD3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F6774" w:rsidRPr="003E7CD3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E7CD3">
        <w:rPr>
          <w:rFonts w:ascii="Arial" w:eastAsia="Times New Roman" w:hAnsi="Arial" w:cs="Arial"/>
          <w:lang w:eastAsia="cs-CZ"/>
        </w:rPr>
        <w:t xml:space="preserve">Vyvěšeno na úřední desce dne: </w:t>
      </w:r>
      <w:r w:rsidR="00DA2881">
        <w:rPr>
          <w:rFonts w:ascii="Arial" w:eastAsia="Times New Roman" w:hAnsi="Arial" w:cs="Arial"/>
          <w:lang w:eastAsia="cs-CZ"/>
        </w:rPr>
        <w:t>20.7.2017</w:t>
      </w:r>
    </w:p>
    <w:p w:rsidR="006F6774" w:rsidRPr="003E7CD3" w:rsidRDefault="006F6774" w:rsidP="006F677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E7CD3">
        <w:rPr>
          <w:rFonts w:ascii="Arial" w:eastAsia="Times New Roman" w:hAnsi="Arial" w:cs="Arial"/>
          <w:lang w:eastAsia="cs-CZ"/>
        </w:rPr>
        <w:t>Sejmuto z úřední desky dne:</w:t>
      </w:r>
      <w:r w:rsidR="00DA2881">
        <w:rPr>
          <w:rFonts w:ascii="Arial" w:eastAsia="Times New Roman" w:hAnsi="Arial" w:cs="Arial"/>
          <w:lang w:eastAsia="cs-CZ"/>
        </w:rPr>
        <w:t xml:space="preserve"> 4.8.2017</w:t>
      </w:r>
      <w:bookmarkStart w:id="0" w:name="_GoBack"/>
      <w:bookmarkEnd w:id="0"/>
    </w:p>
    <w:p w:rsidR="004F2E81" w:rsidRDefault="004F2E81"/>
    <w:sectPr w:rsidR="004F2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774"/>
    <w:rsid w:val="004D123F"/>
    <w:rsid w:val="004F2E81"/>
    <w:rsid w:val="005131B0"/>
    <w:rsid w:val="006F6774"/>
    <w:rsid w:val="008A52BA"/>
    <w:rsid w:val="00A304B6"/>
    <w:rsid w:val="00DA2881"/>
    <w:rsid w:val="00D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46C8"/>
  <w15:docId w15:val="{9A85E589-C9DD-448A-A4A5-80A1B9EE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67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7effb9d240699803e562c8eaf4842a39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7af5fc8c6990bcf12977ff3207fc69fa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3695E-5E68-42FD-8F7D-02CE46E7B099}"/>
</file>

<file path=customXml/itemProps2.xml><?xml version="1.0" encoding="utf-8"?>
<ds:datastoreItem xmlns:ds="http://schemas.openxmlformats.org/officeDocument/2006/customXml" ds:itemID="{F92832CD-716E-4C15-BD84-BE7442146690}"/>
</file>

<file path=customXml/itemProps3.xml><?xml version="1.0" encoding="utf-8"?>
<ds:datastoreItem xmlns:ds="http://schemas.openxmlformats.org/officeDocument/2006/customXml" ds:itemID="{EE837C39-CC16-47D3-995C-AD23623C4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Božena Jonášová</cp:lastModifiedBy>
  <cp:revision>4</cp:revision>
  <cp:lastPrinted>2017-08-23T15:09:00Z</cp:lastPrinted>
  <dcterms:created xsi:type="dcterms:W3CDTF">2017-08-23T15:10:00Z</dcterms:created>
  <dcterms:modified xsi:type="dcterms:W3CDTF">2017-08-23T15:58:00Z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</Properties>
</file>