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2"/>
        <w:numPr>
          <w:ilvl w:val="1"/>
          <w:numId w:val="1"/>
        </w:numPr>
        <w:spacing w:lineRule="atLeast" w:line="28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 HEŘMAŇ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obce  Heřmaň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</w:rPr>
        <w:t>Obecně závazná vyhláška obce Heřmaň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Zkladntextodsazen2"/>
        <w:ind w:start="0" w:end="0" w:hanging="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Heřmaň se na svém zasedání dne 12. 12. 2024 usnesením č. 867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Nadpis2"/>
        <w:numPr>
          <w:ilvl w:val="1"/>
          <w:numId w:val="1"/>
        </w:numPr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0" w:leader="none"/>
        </w:tabs>
        <w:ind w:start="0" w:end="0" w:hanging="426"/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Heřmaně.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142" w:leader="none"/>
        </w:tabs>
        <w:ind w:start="0" w:end="0" w:hanging="426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142" w:leader="none"/>
        </w:tabs>
        <w:ind w:start="0" w:end="0" w:hanging="426"/>
        <w:jc w:val="both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-142" w:leader="none"/>
        </w:tabs>
        <w:ind w:start="0" w:end="0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Odstavecseseznamem"/>
        <w:numPr>
          <w:ilvl w:val="0"/>
          <w:numId w:val="9"/>
        </w:numPr>
        <w:spacing w:lineRule="auto" w:line="240" w:before="0" w:after="0"/>
        <w:ind w:start="786" w:end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Biologicky rozložitelný odpad</w:t>
      </w:r>
      <w:r>
        <w:rPr>
          <w:rFonts w:cs="Arial" w:ascii="Arial" w:hAnsi="Arial"/>
          <w:bCs/>
          <w:i/>
        </w:rPr>
        <w:t>,</w:t>
      </w:r>
    </w:p>
    <w:p>
      <w:pPr>
        <w:pStyle w:val="Odstavecseseznamem"/>
        <w:numPr>
          <w:ilvl w:val="0"/>
          <w:numId w:val="9"/>
        </w:numPr>
        <w:tabs>
          <w:tab w:val="clear" w:pos="708"/>
          <w:tab w:val="left" w:pos="567" w:leader="none"/>
        </w:tabs>
        <w:spacing w:lineRule="auto" w:line="240" w:before="0" w:after="0"/>
        <w:ind w:start="786" w:end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Odstavecseseznamem"/>
        <w:numPr>
          <w:ilvl w:val="0"/>
          <w:numId w:val="9"/>
        </w:numPr>
        <w:tabs>
          <w:tab w:val="clear" w:pos="708"/>
          <w:tab w:val="left" w:pos="567" w:leader="none"/>
        </w:tabs>
        <w:spacing w:lineRule="auto" w:line="240" w:before="0" w:after="0"/>
        <w:ind w:start="786" w:end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Odstavecseseznamem"/>
        <w:numPr>
          <w:ilvl w:val="0"/>
          <w:numId w:val="9"/>
        </w:numPr>
        <w:spacing w:lineRule="auto" w:line="240" w:before="0" w:after="0"/>
        <w:ind w:start="786" w:end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Odstavecseseznamem"/>
        <w:numPr>
          <w:ilvl w:val="0"/>
          <w:numId w:val="9"/>
        </w:numPr>
        <w:spacing w:lineRule="auto" w:line="240" w:before="0" w:after="0"/>
        <w:ind w:start="786" w:end="0" w:hanging="360"/>
        <w:contextualSpacing/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Baterie a monočlánky</w:t>
      </w:r>
    </w:p>
    <w:p>
      <w:pPr>
        <w:pStyle w:val="Normal"/>
        <w:numPr>
          <w:ilvl w:val="0"/>
          <w:numId w:val="9"/>
        </w:numPr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Odsazentlatextu"/>
        <w:numPr>
          <w:ilvl w:val="0"/>
          <w:numId w:val="4"/>
        </w:numPr>
        <w:ind w:start="360" w:end="0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h), i), j).</w:t>
      </w:r>
    </w:p>
    <w:p>
      <w:pPr>
        <w:pStyle w:val="Odsazentlatextu"/>
        <w:ind w:start="360" w:end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numPr>
          <w:ilvl w:val="0"/>
          <w:numId w:val="4"/>
        </w:numPr>
        <w:ind w:start="360" w:end="0" w:hanging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nádob.</w:t>
      </w:r>
    </w:p>
    <w:p>
      <w:pPr>
        <w:pStyle w:val="Odsazentlatextu"/>
        <w:numPr>
          <w:ilvl w:val="0"/>
          <w:numId w:val="0"/>
        </w:numPr>
        <w:ind w:start="1068" w:end="0" w:hanging="0"/>
        <w:rPr/>
      </w:pPr>
      <w:r>
        <w:rPr/>
      </w:r>
    </w:p>
    <w:p>
      <w:pPr>
        <w:pStyle w:val="Odsazentlatextu"/>
        <w:ind w:start="360" w:end="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adpis2"/>
        <w:numPr>
          <w:ilvl w:val="1"/>
          <w:numId w:val="1"/>
        </w:num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Soustřeďování papíru, plastů, skla, kovů, biologického odpadu, jedlých olejů a tuků,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 xml:space="preserve">, kterými jsou sběrné nádoby a kontejnery. </w:t>
      </w:r>
    </w:p>
    <w:p>
      <w:pPr>
        <w:pStyle w:val="NormlnIMP"/>
        <w:numPr>
          <w:ilvl w:val="0"/>
          <w:numId w:val="1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start="0" w:end="0" w:hanging="0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těchto stanovištích: kontejnery na papír, plasty,    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start="360" w:end="0" w:hanging="0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sklo, kovy a textil jsou umístěny před hasičskou zbrojnicí. 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start="360" w:end="0" w:hanging="0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Sběrná nádoba na jedlé oleje a tuky je umístěna před budovou obecního úřadu.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start="360" w:end="0" w:hanging="0"/>
        <w:textAlignment w:val="auto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 xml:space="preserve">Sběrná nádoba na baterie a monočlánky je umístěna v kanceláři obecního úřadu. </w:t>
      </w:r>
    </w:p>
    <w:p>
      <w:pPr>
        <w:pStyle w:val="NormlnIMP"/>
        <w:numPr>
          <w:ilvl w:val="0"/>
          <w:numId w:val="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start="360" w:end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>Sběrné nádoby na biologicky rozložitelný odpad jsou u jednotlivých nemovitostí (podobně jako nádoby na směsný komunální odpad).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0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false"/>
        <w:spacing w:lineRule="auto" w:line="240"/>
        <w:ind w:start="0" w:end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tavecseseznamem"/>
        <w:numPr>
          <w:ilvl w:val="0"/>
          <w:numId w:val="2"/>
        </w:numPr>
        <w:spacing w:lineRule="auto" w:line="240" w:before="0" w:after="0"/>
        <w:ind w:start="720" w:end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Biologicky rozložitelný odpad, barva hnědá.</w:t>
      </w:r>
    </w:p>
    <w:p>
      <w:pPr>
        <w:pStyle w:val="Odstavecseseznamem"/>
        <w:numPr>
          <w:ilvl w:val="0"/>
          <w:numId w:val="2"/>
        </w:numPr>
        <w:spacing w:lineRule="auto" w:line="240" w:before="0" w:after="0"/>
        <w:ind w:start="720" w:end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Odstavecseseznamem"/>
        <w:numPr>
          <w:ilvl w:val="0"/>
          <w:numId w:val="2"/>
        </w:numPr>
        <w:spacing w:lineRule="auto" w:line="240" w:before="0" w:after="0"/>
        <w:ind w:start="720" w:end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Plasty, PET lahve, barva žlutá</w:t>
      </w:r>
      <w:r>
        <w:rPr>
          <w:rFonts w:cs="Arial" w:ascii="Arial" w:hAnsi="Arial"/>
          <w:bCs/>
          <w:i/>
        </w:rPr>
        <w:t>,</w:t>
      </w:r>
    </w:p>
    <w:p>
      <w:pPr>
        <w:pStyle w:val="Odstavecseseznamem"/>
        <w:numPr>
          <w:ilvl w:val="0"/>
          <w:numId w:val="2"/>
        </w:numPr>
        <w:spacing w:lineRule="auto" w:line="240" w:before="0" w:after="0"/>
        <w:ind w:start="720" w:end="0" w:hanging="36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zelená,</w:t>
      </w:r>
    </w:p>
    <w:p>
      <w:pPr>
        <w:pStyle w:val="Odstavecseseznamem"/>
        <w:numPr>
          <w:ilvl w:val="0"/>
          <w:numId w:val="2"/>
        </w:numPr>
        <w:spacing w:lineRule="auto" w:line="240" w:before="0" w:after="0"/>
        <w:ind w:start="720" w:end="0" w:hanging="360"/>
        <w:contextualSpacing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</w:rPr>
        <w:t xml:space="preserve">Kovy, barva šedá, 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oranžová.</w:t>
      </w:r>
    </w:p>
    <w:p>
      <w:pPr>
        <w:pStyle w:val="Normal"/>
        <w:numPr>
          <w:ilvl w:val="0"/>
          <w:numId w:val="2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bílá.</w:t>
      </w:r>
    </w:p>
    <w:p>
      <w:pPr>
        <w:pStyle w:val="Normal"/>
        <w:ind w:start="360" w:end="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0"/>
        </w:numPr>
        <w:jc w:val="both"/>
        <w:rPr>
          <w:rFonts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bidi w:val="0"/>
        <w:ind w:start="0" w:end="0" w:hanging="0"/>
        <w:jc w:val="star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Default"/>
        <w:bidi w:val="0"/>
        <w:ind w:start="0" w:end="0" w:hanging="0"/>
        <w:jc w:val="star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adpis2"/>
        <w:numPr>
          <w:ilvl w:val="1"/>
          <w:numId w:val="1"/>
        </w:numPr>
        <w:jc w:val="center"/>
        <w:rPr>
          <w:rFonts w:ascii="Arial" w:hAnsi="Arial" w:eastAsia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numPr>
          <w:ilvl w:val="1"/>
          <w:numId w:val="1"/>
        </w:numPr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eastAsia="Arial"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start="360" w:end="0" w:hanging="0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na určená  shromažďovací místa s obsluhou k tomuto sběru. Informace o svozu jsou zveřejňovány na úřední desce obecního úřadu a na elektronické úřední desce obce.</w:t>
      </w:r>
    </w:p>
    <w:p>
      <w:pPr>
        <w:pStyle w:val="Normal"/>
        <w:ind w:start="360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jc w:val="both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  </w:t>
      </w:r>
    </w:p>
    <w:p>
      <w:pPr>
        <w:pStyle w:val="Normal"/>
        <w:rPr>
          <w:rFonts w:ascii="Arial" w:hAnsi="Arial" w:cs="Arial"/>
          <w:b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i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eastAsia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start="360" w:end="0" w:hanging="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Svoz objemného odpadu je zajišťován dvakrát ročně jeho odebíráním na předem vyhlášených přechodných stanovištích přímo na zvláštních sběrných místech k tomuto účelu určených. Informace o svozu jsou zveřejňovány zveřejňovány na úřední desce obecního úřadu a na elektronické úřední desce obce.</w:t>
      </w:r>
      <w:r>
        <w:rPr>
          <w:rFonts w:cs="Arial" w:ascii="Arial" w:hAnsi="Arial"/>
          <w:i/>
          <w:iCs/>
          <w:color w:val="00B0F0"/>
          <w:sz w:val="22"/>
          <w:szCs w:val="22"/>
        </w:rPr>
        <w:t xml:space="preserve"> </w:t>
      </w:r>
    </w:p>
    <w:p>
      <w:pPr>
        <w:pStyle w:val="NormlnIMP"/>
        <w:suppressAutoHyphens w:val="false"/>
        <w:overflowPunct w:val="false"/>
        <w:spacing w:lineRule="auto" w:line="240"/>
        <w:textAlignment w:val="auto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color w:val="00B0F0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567" w:leader="none"/>
        </w:tabs>
        <w:ind w:start="0" w:end="0" w:hang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8"/>
        </w:numPr>
        <w:ind w:start="426" w:end="0" w:hanging="426"/>
        <w:jc w:val="both"/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1"/>
        </w:numPr>
        <w:ind w:start="360" w:end="0" w:firstLine="66"/>
        <w:jc w:val="both"/>
        <w:rPr>
          <w:rFonts w:ascii="Arial" w:hAnsi="Arial" w:cs="Arial"/>
          <w:i/>
          <w:i/>
          <w:iCs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popelnice – sběrné nádoby</w:t>
      </w:r>
    </w:p>
    <w:p>
      <w:pPr>
        <w:pStyle w:val="Normal"/>
        <w:numPr>
          <w:ilvl w:val="0"/>
          <w:numId w:val="11"/>
        </w:numPr>
        <w:ind w:start="360" w:end="0" w:firstLine="66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kontejnery umístěné v blízkosti cesty u chatové oblasti Rechle a popelnice v chatové oblasti Mlejnek.</w:t>
      </w:r>
    </w:p>
    <w:p>
      <w:pPr>
        <w:pStyle w:val="Normal"/>
        <w:numPr>
          <w:ilvl w:val="0"/>
          <w:numId w:val="11"/>
        </w:numPr>
        <w:ind w:start="360" w:end="0"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color w:val="000000"/>
          <w:sz w:val="22"/>
          <w:szCs w:val="22"/>
        </w:rPr>
        <w:t>odpadkové koše,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i/>
          <w:color w:val="000000"/>
          <w:sz w:val="22"/>
          <w:szCs w:val="22"/>
        </w:rPr>
        <w:t>které jsou umístěny na veřejných prostranstvích v obci, sloužící pro odkládání drobného směsného komunálního odpadu.</w:t>
      </w:r>
    </w:p>
    <w:p>
      <w:pPr>
        <w:pStyle w:val="Normal"/>
        <w:numPr>
          <w:ilvl w:val="0"/>
          <w:numId w:val="8"/>
        </w:numPr>
        <w:ind w:start="426" w:end="0" w:hanging="426"/>
        <w:jc w:val="both"/>
        <w:rPr>
          <w:rFonts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bidi w:val="0"/>
        <w:ind w:start="360" w:end="0" w:hanging="0"/>
        <w:jc w:val="both"/>
        <w:rPr>
          <w:rFonts w:cs="Arial"/>
          <w:color w:val="00B0F0"/>
          <w:sz w:val="22"/>
          <w:szCs w:val="22"/>
        </w:rPr>
      </w:pPr>
      <w:r>
        <w:rPr>
          <w:rFonts w:cs="Arial"/>
          <w:color w:val="00B0F0"/>
          <w:sz w:val="22"/>
          <w:szCs w:val="22"/>
        </w:rPr>
      </w:r>
    </w:p>
    <w:p>
      <w:pPr>
        <w:pStyle w:val="Default"/>
        <w:bidi w:val="0"/>
        <w:ind w:start="360" w:end="0" w:hanging="0"/>
        <w:jc w:val="both"/>
        <w:rPr>
          <w:rFonts w:cs="Arial"/>
          <w:color w:val="00B0F0"/>
          <w:sz w:val="22"/>
          <w:szCs w:val="22"/>
        </w:rPr>
      </w:pPr>
      <w:r>
        <w:rPr>
          <w:rFonts w:cs="Arial"/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numPr>
          <w:ilvl w:val="1"/>
          <w:numId w:val="1"/>
        </w:numPr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numPr>
          <w:ilvl w:val="1"/>
          <w:numId w:val="1"/>
        </w:numPr>
        <w:jc w:val="center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3"/>
        </w:numPr>
        <w:ind w:start="284" w:end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komunální odpad dle čl. 2 odst. 1 písm. b), c), d) a plasty i papír předávají v běžných sběrných nádobách před vstupní bránu areálu provozu. </w:t>
      </w:r>
    </w:p>
    <w:p>
      <w:pPr>
        <w:pStyle w:val="Normal"/>
        <w:ind w:start="284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ind w:start="284" w:end="0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úhrady za zapojení do obecního systému se stanoví dle kapacity soustřeďovacích prostředků.</w:t>
      </w:r>
    </w:p>
    <w:p>
      <w:pPr>
        <w:pStyle w:val="Normal"/>
        <w:ind w:start="284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ind w:start="284" w:end="0" w:hanging="284"/>
        <w:jc w:val="both"/>
        <w:rPr/>
      </w:pPr>
      <w:r>
        <w:rPr>
          <w:rFonts w:cs="Arial" w:ascii="Arial" w:hAnsi="Arial"/>
          <w:sz w:val="22"/>
          <w:szCs w:val="22"/>
        </w:rPr>
        <w:t>Úhrada se vybírá jednorázově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 to v hotovosti nebo převodem na účet obce.</w:t>
      </w:r>
    </w:p>
    <w:p>
      <w:pPr>
        <w:pStyle w:val="Normal"/>
        <w:ind w:start="284" w:end="0" w:hanging="284"/>
        <w:jc w:val="both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adpis2"/>
        <w:numPr>
          <w:ilvl w:val="1"/>
          <w:numId w:val="1"/>
        </w:numPr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Zrušovací ustanovení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star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  <w:u w:val="none"/>
        </w:rPr>
        <w:t>Zrušuje se obecně závazná vyhláška č. 2/2021 o stanovení obecního  systému odpadového hospodářství, ze dne 14.10.2021 (schválené usnesením č. 706).</w:t>
      </w:r>
    </w:p>
    <w:p>
      <w:pPr>
        <w:pStyle w:val="Normal"/>
        <w:ind w:start="284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Závěrečná ustanovení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0"/>
        </w:numPr>
        <w:ind w:start="360" w:end="0" w:hanging="0"/>
        <w:jc w:val="both"/>
        <w:rPr/>
      </w:pPr>
      <w:r>
        <w:rPr>
          <w:rFonts w:cs="Arial" w:ascii="Arial" w:hAnsi="Arial"/>
          <w:sz w:val="22"/>
          <w:szCs w:val="22"/>
        </w:rPr>
        <w:t>Tato vyhláška nabývá účinnosti dnem 1. 1. 2025</w:t>
      </w:r>
      <w:r>
        <w:rPr>
          <w:rFonts w:cs="Arial" w:ascii="Arial" w:hAnsi="Arial"/>
          <w:i/>
          <w:sz w:val="22"/>
          <w:szCs w:val="22"/>
        </w:rPr>
        <w:t>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08"/>
          <w:tab w:val="left" w:pos="540" w:leader="none"/>
        </w:tabs>
        <w:ind w:start="540" w:end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start="0" w:end="0"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ind w:start="708" w:end="0" w:hanging="0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ab/>
        <w:t>………………..</w:t>
      </w:r>
    </w:p>
    <w:p>
      <w:pPr>
        <w:pStyle w:val="Normal"/>
        <w:ind w:start="0" w:end="0"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  <w:t>Ing. Václav Pexa</w:t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</w:r>
      <w:r>
        <w:rPr>
          <w:rFonts w:cs="Arial" w:ascii="Arial" w:hAnsi="Arial"/>
          <w:bCs/>
          <w:i/>
          <w:sz w:val="22"/>
          <w:szCs w:val="22"/>
        </w:rPr>
        <w:t>Ing. Jana Veselá</w:t>
      </w:r>
    </w:p>
    <w:p>
      <w:pPr>
        <w:pStyle w:val="Normal"/>
        <w:ind w:start="708" w:end="0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starostka</w:t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rPr>
          <w:rFonts w:ascii="Arial" w:hAnsi="Arial" w:cs="Arial"/>
          <w:bCs/>
          <w:sz w:val="22"/>
          <w:szCs w:val="22"/>
        </w:rPr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  <w:font w:name="Tahoma"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lowerLetter"/>
      <w:lvlText w:val="%1)"/>
      <w:lvlJc w:val="start"/>
      <w:pPr>
        <w:tabs>
          <w:tab w:val="num" w:pos="0"/>
        </w:tabs>
        <w:ind w:start="720" w:hanging="360"/>
      </w:pPr>
      <w:rPr>
        <w:sz w:val="22"/>
        <w:i/>
        <w:szCs w:val="22"/>
        <w:iCs/>
        <w:bCs/>
        <w:rFonts w:ascii="Arial" w:hAnsi="Arial" w:cs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3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22"/>
        <w:szCs w:val="22"/>
        <w:rFonts w:ascii="Arial" w:hAnsi="Arial" w:cs="Aria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4">
    <w:lvl w:ilvl="0">
      <w:start w:val="1"/>
      <w:numFmt w:val="decimal"/>
      <w:lvlText w:val="%1)"/>
      <w:lvlJc w:val="start"/>
      <w:pPr>
        <w:tabs>
          <w:tab w:val="num" w:pos="0"/>
        </w:tabs>
        <w:ind w:start="360" w:hanging="360"/>
      </w:pPr>
      <w:rPr>
        <w:sz w:val="22"/>
        <w:i/>
        <w:szCs w:val="22"/>
        <w:iCs/>
        <w:rFonts w:ascii="Arial" w:hAnsi="Arial" w:cs="Aria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5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sz w:val="22"/>
        <w:i/>
        <w:b/>
        <w:szCs w:val="22"/>
        <w:rFonts w:ascii="Arial" w:hAnsi="Arial" w:cs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6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>
        <w:sz w:val="22"/>
        <w:b/>
        <w:szCs w:val="22"/>
        <w:iCs/>
        <w:rFonts w:ascii="Arial" w:hAnsi="Arial" w:cs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7">
    <w:lvl w:ilvl="0">
      <w:start w:val="1"/>
      <w:numFmt w:val="decimal"/>
      <w:lvlText w:val="%1)"/>
      <w:lvlJc w:val="start"/>
      <w:pPr>
        <w:tabs>
          <w:tab w:val="num" w:pos="0"/>
        </w:tabs>
        <w:ind w:start="360" w:hanging="360"/>
      </w:pPr>
      <w:rPr>
        <w:sz w:val="22"/>
        <w:i w:val="false"/>
        <w:b/>
        <w:szCs w:val="22"/>
        <w:iCs/>
        <w:rFonts w:ascii="Arial" w:hAnsi="Arial" w:cs="Arial"/>
        <w:color w:val="00B0F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8">
    <w:lvl w:ilvl="0">
      <w:start w:val="1"/>
      <w:numFmt w:val="decimal"/>
      <w:lvlText w:val="%1)"/>
      <w:lvlJc w:val="start"/>
      <w:pPr>
        <w:tabs>
          <w:tab w:val="num" w:pos="0"/>
        </w:tabs>
        <w:ind w:start="720" w:hanging="360"/>
      </w:pPr>
      <w:rPr>
        <w:dstrike w:val="false"/>
        <w:strike w:val="false"/>
        <w:sz w:val="22"/>
        <w:szCs w:val="22"/>
        <w:rFonts w:ascii="Arial" w:hAnsi="Arial" w:cs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9">
    <w:lvl w:ilvl="0">
      <w:start w:val="1"/>
      <w:numFmt w:val="lowerLetter"/>
      <w:lvlText w:val="%1)"/>
      <w:lvlJc w:val="start"/>
      <w:pPr>
        <w:tabs>
          <w:tab w:val="num" w:pos="0"/>
        </w:tabs>
        <w:ind w:start="786" w:hanging="360"/>
      </w:pPr>
      <w:rPr>
        <w:sz w:val="22"/>
        <w:i/>
        <w:szCs w:val="22"/>
        <w:bCs/>
        <w:rFonts w:ascii="Arial" w:hAnsi="Arial" w:eastAsia="Times New Roman" w:cs="Times New Roman"/>
        <w:color w:val="00B0F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0">
    <w:lvl w:ilvl="0">
      <w:start w:val="1"/>
      <w:numFmt w:val="decimal"/>
      <w:lvlText w:val="%1)"/>
      <w:lvlJc w:val="start"/>
      <w:pPr>
        <w:tabs>
          <w:tab w:val="num" w:pos="360"/>
        </w:tabs>
        <w:ind w:start="360" w:hanging="360"/>
      </w:pPr>
      <w:rPr>
        <w:sz w:val="22"/>
        <w:u w:val="none"/>
        <w:b w:val="false"/>
        <w:szCs w:val="22"/>
        <w:rFonts w:ascii="Arial" w:hAnsi="Arial" w:cs="Aria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1">
    <w:lvl w:ilvl="0">
      <w:start w:val="1"/>
      <w:numFmt w:val="lowerLetter"/>
      <w:lvlText w:val="%1)"/>
      <w:lvlJc w:val="start"/>
      <w:pPr>
        <w:tabs>
          <w:tab w:val="num" w:pos="708"/>
        </w:tabs>
        <w:ind w:start="360" w:hanging="360"/>
      </w:pPr>
      <w:rPr>
        <w:sz w:val="22"/>
        <w:i/>
        <w:szCs w:val="22"/>
        <w:rFonts w:ascii="Arial" w:hAnsi="Arial" w:eastAsia="Times New Roman" w:cs="Arial"/>
        <w:color w:val="000000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1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zh-CN" w:bidi="ar-SA"/>
    </w:rPr>
  </w:style>
  <w:style w:type="paragraph" w:styleId="Nadpis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Arial" w:hAnsi="Arial" w:cs="Arial"/>
      <w:bCs/>
      <w:i/>
      <w:iCs/>
      <w:color w:val="000000"/>
      <w:sz w:val="22"/>
      <w:szCs w:val="22"/>
    </w:rPr>
  </w:style>
  <w:style w:type="character" w:styleId="WW8Num3z0">
    <w:name w:val="WW8Num3z0"/>
    <w:qFormat/>
    <w:rPr>
      <w:rFonts w:ascii="Arial" w:hAnsi="Arial" w:cs="Arial"/>
      <w:sz w:val="22"/>
      <w:szCs w:val="22"/>
    </w:rPr>
  </w:style>
  <w:style w:type="character" w:styleId="WW8Num4z0">
    <w:name w:val="WW8Num4z0"/>
    <w:qFormat/>
    <w:rPr>
      <w:rFonts w:ascii="Arial" w:hAnsi="Arial" w:cs="Arial"/>
      <w:i/>
      <w:iCs/>
      <w:sz w:val="22"/>
      <w:szCs w:val="22"/>
    </w:rPr>
  </w:style>
  <w:style w:type="character" w:styleId="WW8Num5z0">
    <w:name w:val="WW8Num5z0"/>
    <w:qFormat/>
    <w:rPr>
      <w:rFonts w:ascii="Arial" w:hAnsi="Arial" w:cs="Arial"/>
      <w:b/>
      <w:i/>
      <w:color w:val="000000"/>
      <w:sz w:val="22"/>
      <w:szCs w:val="22"/>
    </w:rPr>
  </w:style>
  <w:style w:type="character" w:styleId="WW8Num6z0">
    <w:name w:val="WW8Num6z0"/>
    <w:qFormat/>
    <w:rPr>
      <w:rFonts w:ascii="Arial" w:hAnsi="Arial" w:cs="Arial"/>
      <w:b/>
      <w:iCs/>
      <w:color w:val="000000"/>
      <w:sz w:val="22"/>
      <w:szCs w:val="22"/>
    </w:rPr>
  </w:style>
  <w:style w:type="character" w:styleId="WW8Num7z0">
    <w:name w:val="WW8Num7z0"/>
    <w:qFormat/>
    <w:rPr>
      <w:rFonts w:ascii="Arial" w:hAnsi="Arial" w:cs="Arial"/>
      <w:b/>
      <w:i w:val="false"/>
      <w:iCs/>
      <w:color w:val="00B0F0"/>
      <w:sz w:val="22"/>
      <w:szCs w:val="22"/>
    </w:rPr>
  </w:style>
  <w:style w:type="character" w:styleId="WW8Num8z0">
    <w:name w:val="WW8Num8z0"/>
    <w:qFormat/>
    <w:rPr>
      <w:rFonts w:ascii="Arial" w:hAnsi="Arial" w:cs="Arial"/>
      <w:strike w:val="false"/>
      <w:dstrike w:val="false"/>
      <w:color w:val="000000"/>
      <w:sz w:val="22"/>
      <w:szCs w:val="22"/>
    </w:rPr>
  </w:style>
  <w:style w:type="character" w:styleId="WW8Num9z0">
    <w:name w:val="WW8Num9z0"/>
    <w:qFormat/>
    <w:rPr>
      <w:rFonts w:ascii="Arial" w:hAnsi="Arial" w:eastAsia="Times New Roman" w:cs="Times New Roman"/>
      <w:bCs/>
      <w:i/>
      <w:color w:val="00B0F0"/>
      <w:sz w:val="22"/>
      <w:szCs w:val="22"/>
    </w:rPr>
  </w:style>
  <w:style w:type="character" w:styleId="WW8Num10z0">
    <w:name w:val="WW8Num10z0"/>
    <w:qFormat/>
    <w:rPr>
      <w:rFonts w:ascii="Arial" w:hAnsi="Arial" w:cs="Arial"/>
      <w:b w:val="false"/>
      <w:sz w:val="22"/>
      <w:szCs w:val="22"/>
      <w:u w:val="none"/>
    </w:rPr>
  </w:style>
  <w:style w:type="character" w:styleId="WW8Num11z0">
    <w:name w:val="WW8Num11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WW8Num12z0">
    <w:name w:val="WW8Num12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WW8Num13z0">
    <w:name w:val="WW8Num13z0"/>
    <w:qFormat/>
    <w:rPr>
      <w:rFonts w:ascii="Arial" w:hAnsi="Arial" w:cs="Arial"/>
      <w:b w:val="false"/>
      <w:sz w:val="22"/>
      <w:szCs w:val="22"/>
      <w:u w:val="none"/>
    </w:rPr>
  </w:style>
  <w:style w:type="character" w:styleId="WW8Num14z0">
    <w:name w:val="WW8Num14z0"/>
    <w:qFormat/>
    <w:rPr>
      <w:rFonts w:ascii="Arial" w:hAnsi="Arial" w:cs="Arial"/>
      <w:sz w:val="22"/>
      <w:szCs w:val="22"/>
    </w:rPr>
  </w:style>
  <w:style w:type="character" w:styleId="WW8Num15z0">
    <w:name w:val="WW8Num15z0"/>
    <w:qFormat/>
    <w:rPr>
      <w:rFonts w:ascii="Arial" w:hAnsi="Arial" w:cs="Arial"/>
      <w:i/>
      <w:sz w:val="22"/>
      <w:szCs w:val="22"/>
    </w:rPr>
  </w:style>
  <w:style w:type="character" w:styleId="WW8Num16z0">
    <w:name w:val="WW8Num16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cs="Times New Roman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i w:val="false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Arial" w:hAnsi="Arial" w:cs="Arial"/>
      <w:sz w:val="22"/>
      <w:szCs w:val="22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Arial" w:hAnsi="Arial" w:eastAsia="Times New Roman" w:cs="Arial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cs="Times New Roman"/>
    </w:rPr>
  </w:style>
  <w:style w:type="character" w:styleId="WW8Num21z1">
    <w:name w:val="WW8Num21z1"/>
    <w:qFormat/>
    <w:rPr>
      <w:rFonts w:cs="Times New Roman"/>
    </w:rPr>
  </w:style>
  <w:style w:type="character" w:styleId="WW8Num22z0">
    <w:name w:val="WW8Num22z0"/>
    <w:qFormat/>
    <w:rPr>
      <w:rFonts w:ascii="Arial" w:hAnsi="Arial" w:eastAsia="Times New Roman" w:cs="Times New Roman"/>
      <w:bCs/>
      <w:i/>
      <w:sz w:val="22"/>
      <w:szCs w:val="22"/>
    </w:rPr>
  </w:style>
  <w:style w:type="character" w:styleId="WW8Num22z1">
    <w:name w:val="WW8Num22z1"/>
    <w:qFormat/>
    <w:rPr>
      <w:rFonts w:cs="Times New Roman"/>
    </w:rPr>
  </w:style>
  <w:style w:type="character" w:styleId="WW8Num23z0">
    <w:name w:val="WW8Num23z0"/>
    <w:qFormat/>
    <w:rPr>
      <w:rFonts w:ascii="Arial" w:hAnsi="Arial" w:cs="Arial"/>
      <w:b w:val="false"/>
      <w:sz w:val="22"/>
      <w:szCs w:val="22"/>
      <w:u w:val="no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Arial" w:hAnsi="Arial" w:cs="Arial"/>
      <w:sz w:val="22"/>
      <w:szCs w:val="22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rFonts w:ascii="Arial" w:hAnsi="Arial" w:cs="Arial"/>
      <w:i/>
      <w:sz w:val="22"/>
      <w:szCs w:val="22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strike w:val="false"/>
      <w:dstrike w:val="false"/>
      <w:color w:val="000000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Arial" w:hAnsi="Arial" w:eastAsia="Times New Roman" w:cs="Arial"/>
      <w:i/>
      <w:color w:val="000000"/>
      <w:sz w:val="22"/>
      <w:szCs w:val="22"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Standardnpsmoodstavce">
    <w:name w:val="Standardní písmo odstavce"/>
    <w:qFormat/>
    <w:rPr/>
  </w:style>
  <w:style w:type="character" w:styleId="Znakypropoznmkupodarou">
    <w:name w:val="Znaky pro poznámku pod čarou"/>
    <w:qFormat/>
    <w:rPr>
      <w:vertAlign w:val="superscript"/>
    </w:rPr>
  </w:style>
  <w:style w:type="character" w:styleId="Odkaznakoment">
    <w:name w:val="Odkaz na komentář"/>
    <w:qFormat/>
    <w:rPr>
      <w:sz w:val="16"/>
      <w:szCs w:val="16"/>
    </w:rPr>
  </w:style>
  <w:style w:type="character" w:styleId="TextkomenteChar">
    <w:name w:val="Text komentáře Char"/>
    <w:basedOn w:val="Standardnpsmoodstavce"/>
    <w:qFormat/>
    <w:rPr/>
  </w:style>
  <w:style w:type="character" w:styleId="PedmtkomenteChar">
    <w:name w:val="Předmět komentáře Char"/>
    <w:qFormat/>
    <w:rPr>
      <w:b/>
      <w:bCs/>
    </w:rPr>
  </w:style>
  <w:style w:type="character" w:styleId="ZpatChar">
    <w:name w:val="Zápatí Char"/>
    <w:qFormat/>
    <w:rPr>
      <w:sz w:val="24"/>
      <w:szCs w:val="24"/>
    </w:rPr>
  </w:style>
  <w:style w:type="character" w:styleId="FootnoteCharacters">
    <w:name w:val="Footnote Characters"/>
    <w:qFormat/>
    <w:rPr>
      <w:vertAlign w:val="superscript"/>
    </w:rPr>
  </w:style>
  <w:style w:type="character" w:styleId="Znakyprovysvtlivky">
    <w:name w:val="Znaky pro vysvětlivky"/>
    <w:qFormat/>
    <w:rPr>
      <w:vertAlign w:val="superscript"/>
    </w:rPr>
  </w:style>
  <w:style w:type="character" w:styleId="WW-Znakyprovysvtlivky">
    <w:name w:val="WW-Znaky pro vysvětlivky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dsazentlatextu">
    <w:name w:val="Body Text Indent"/>
    <w:basedOn w:val="Normal"/>
    <w:pPr>
      <w:ind w:start="708" w:end="0" w:firstLine="357"/>
      <w:jc w:val="both"/>
    </w:pPr>
    <w:rPr>
      <w:szCs w:val="20"/>
    </w:rPr>
  </w:style>
  <w:style w:type="paragraph" w:styleId="Zkladntextodsazen2">
    <w:name w:val="Základní text odsazený 2"/>
    <w:basedOn w:val="Normal"/>
    <w:qFormat/>
    <w:pPr>
      <w:ind w:start="708" w:end="0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pPr/>
    <w:rPr>
      <w:sz w:val="20"/>
      <w:szCs w:val="20"/>
      <w:lang w:val="en-US" w:eastAsia="en-US"/>
    </w:rPr>
  </w:style>
  <w:style w:type="paragraph" w:styleId="NormlnIMP">
    <w:name w:val="Normální_IMP"/>
    <w:basedOn w:val="Normal"/>
    <w:qFormat/>
    <w:pPr>
      <w:suppressAutoHyphens w:val="true"/>
      <w:overflowPunct w:val="true"/>
      <w:spacing w:lineRule="auto" w:line="228"/>
      <w:jc w:val="both"/>
      <w:textAlignment w:val="baseline"/>
    </w:pPr>
    <w:rPr>
      <w:szCs w:val="20"/>
    </w:rPr>
  </w:style>
  <w:style w:type="paragraph" w:styleId="Textkomente">
    <w:name w:val="Text komentáře"/>
    <w:basedOn w:val="Normal"/>
    <w:qFormat/>
    <w:pPr/>
    <w:rPr>
      <w:sz w:val="20"/>
      <w:szCs w:val="20"/>
    </w:rPr>
  </w:style>
  <w:style w:type="paragraph" w:styleId="Zkladntextodsazen3">
    <w:name w:val="Základní text odsazený 3"/>
    <w:basedOn w:val="Normal"/>
    <w:qFormat/>
    <w:pPr>
      <w:widowControl w:val="false"/>
      <w:tabs>
        <w:tab w:val="clear" w:pos="708"/>
        <w:tab w:val="left" w:pos="540" w:leader="none"/>
      </w:tabs>
      <w:ind w:start="540" w:end="0" w:hanging="540"/>
      <w:jc w:val="both"/>
    </w:pPr>
    <w:rPr>
      <w:bCs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Odstavecseseznamem">
    <w:name w:val="Odstavec se seznamem"/>
    <w:basedOn w:val="Normal"/>
    <w:qFormat/>
    <w:pPr>
      <w:spacing w:lineRule="auto" w:line="276" w:before="0" w:after="200"/>
      <w:ind w:start="720" w:end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Pedmtkomente">
    <w:name w:val="Předmět komentáře"/>
    <w:basedOn w:val="Textkomente"/>
    <w:next w:val="Textkomente"/>
    <w:qFormat/>
    <w:pPr/>
    <w:rPr>
      <w:b/>
      <w:bCs/>
      <w:lang w:val="en-US"/>
    </w:rPr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en-US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start"/>
    </w:pPr>
    <w:rPr>
      <w:rFonts w:ascii="Arial" w:hAnsi="Arial" w:eastAsia="Times New Roman" w:cs="Arial"/>
      <w:color w:val="000000"/>
      <w:kern w:val="0"/>
      <w:sz w:val="24"/>
      <w:szCs w:val="24"/>
      <w:lang w:val="cs-CZ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LibreOffice/7.5.3.2$Windows_X86_64 LibreOffice_project/9f56dff12ba03b9acd7730a5a481eea045e468f3</Application>
  <AppVersion>15.0000</AppVersion>
  <Pages>6</Pages>
  <Words>850</Words>
  <Characters>4716</Characters>
  <CharactersWithSpaces>5532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2021-10-07T13:35:00Z</dcterms:created>
  <dc:creator>DA210036</dc:creator>
  <dc:description/>
  <dc:language>en-US</dc:language>
  <cp:lastModifiedBy/>
  <cp:lastPrinted>2021-10-21T16:21:00Z</cp:lastPrinted>
  <dcterms:modified xsi:type="dcterms:W3CDTF">2024-12-18T00:27:39Z</dcterms:modified>
  <cp:revision>10</cp:revision>
  <dc:subject/>
  <dc:title>Vzor obecně závazné vyhlášky obce o stanovení systému shromažďování, sběru, přepravy, třídění, využívání a odstraňování komuná</dc:title>
</cp:coreProperties>
</file>