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Zhlav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OBEC Dubné</w:t>
      </w:r>
    </w:p>
    <w:p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uppressAutoHyphens w:val="false"/>
        <w:spacing w:lineRule="auto" w:line="276"/>
        <w:jc w:val="center"/>
        <w:rPr>
          <w:rFonts w:ascii="Arial" w:hAnsi="Arial" w:cs="Arial"/>
          <w:b/>
          <w:b/>
          <w:lang w:eastAsia="cs-CZ"/>
        </w:rPr>
      </w:pPr>
      <w:r>
        <w:rPr>
          <w:rFonts w:cs="Arial" w:ascii="Arial" w:hAnsi="Arial"/>
          <w:b/>
          <w:lang w:eastAsia="cs-CZ"/>
        </w:rPr>
        <w:t>Zastupitelstvo obce Dubné</w:t>
      </w:r>
    </w:p>
    <w:p>
      <w:pPr>
        <w:pStyle w:val="Normal"/>
        <w:suppressAutoHyphens w:val="false"/>
        <w:spacing w:lineRule="auto" w:line="276"/>
        <w:jc w:val="center"/>
        <w:rPr>
          <w:rFonts w:ascii="Arial" w:hAnsi="Arial" w:cs="Arial"/>
          <w:b/>
          <w:b/>
          <w:lang w:eastAsia="cs-CZ"/>
        </w:rPr>
      </w:pPr>
      <w:r>
        <w:rPr>
          <w:rFonts w:cs="Arial" w:ascii="Arial" w:hAnsi="Arial"/>
          <w:b/>
          <w:lang w:eastAsia="cs-CZ"/>
        </w:rPr>
        <w:tab/>
        <w:t xml:space="preserve">Obecně závazná vyhláška                                                                                         </w:t>
      </w:r>
    </w:p>
    <w:p>
      <w:pPr>
        <w:pStyle w:val="Odsazentlatextu"/>
        <w:spacing w:before="0" w:after="60"/>
        <w:ind w:left="708" w:right="0" w:hanging="0"/>
        <w:rPr>
          <w:b/>
          <w:b/>
        </w:rPr>
      </w:pPr>
      <w:r>
        <w:rPr>
          <w:rFonts w:eastAsia="Arial" w:cs="Arial" w:ascii="Arial" w:hAnsi="Arial"/>
          <w:b/>
          <w:sz w:val="22"/>
          <w:szCs w:val="22"/>
        </w:rPr>
        <w:t xml:space="preserve">                               </w:t>
      </w:r>
      <w:r>
        <w:rPr>
          <w:rFonts w:cs="Arial" w:ascii="Arial" w:hAnsi="Arial"/>
          <w:b/>
          <w:sz w:val="22"/>
          <w:szCs w:val="22"/>
        </w:rPr>
        <w:tab/>
        <w:tab/>
        <w:t xml:space="preserve">  Požární řád obce</w:t>
      </w:r>
    </w:p>
    <w:p>
      <w:pPr>
        <w:pStyle w:val="Odsazentlatextu"/>
        <w:ind w:left="708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lnweb"/>
        <w:spacing w:before="0" w:after="0"/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Zastupitelstvo obce Dubné se na svém zasedání konaném dne 7.5.2024 </w:t>
      </w:r>
      <w:r>
        <w:rPr>
          <w:rFonts w:cs="Arial" w:ascii="Arial" w:hAnsi="Arial"/>
          <w:bCs/>
          <w:i/>
          <w:iCs/>
          <w:sz w:val="22"/>
          <w:szCs w:val="22"/>
        </w:rPr>
        <w:t xml:space="preserve">usnesení             č 11/2024, bod 5 </w:t>
      </w:r>
      <w:r>
        <w:rPr>
          <w:rFonts w:cs="Arial" w:ascii="Arial" w:hAnsi="Arial"/>
          <w:sz w:val="22"/>
          <w:szCs w:val="22"/>
        </w:rPr>
        <w:t>usneslo vydat na základě § 29 odst. 1 písm. o) bod 1 zákona č. 133/1985 Sb.,  o požární ochraně, ve znění pozdějších předpisů (dále jen „zákon o požární ochraně“),                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</w:t>
        <w:br/>
        <w:t>Úvodní ustanovení</w:t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web"/>
        <w:spacing w:before="0" w:after="0"/>
        <w:ind w:left="0" w:right="0" w:hanging="0"/>
        <w:rPr/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ind w:left="705" w:right="0" w:hanging="705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lnweb"/>
        <w:spacing w:before="0" w:after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web"/>
        <w:numPr>
          <w:ilvl w:val="0"/>
          <w:numId w:val="3"/>
        </w:numPr>
        <w:spacing w:before="0" w:after="0"/>
        <w:ind w:left="567" w:right="0" w:hanging="567"/>
        <w:rPr/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Dubné je zajištěna jednotkou sboru dobrovolných hasičů obce Dubné (JPO III), podle čl. 5 této vyhlášky a dále jednotkami požární ochrany uvedenými v příloze č. 1 této vyhlášky. 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3"/>
        </w:numPr>
        <w:spacing w:before="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Normlnweb"/>
        <w:spacing w:before="0" w:after="0"/>
        <w:ind w:left="72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6"/>
        </w:numPr>
        <w:autoSpaceDE w:val="false"/>
        <w:spacing w:lineRule="auto" w:line="240" w:before="0" w:after="0"/>
        <w:ind w:left="1418" w:right="0" w:hanging="851"/>
        <w:contextualSpacing/>
        <w:jc w:val="both"/>
        <w:rPr/>
      </w:pPr>
      <w:r>
        <w:rPr>
          <w:rFonts w:cs="Arial" w:ascii="Arial" w:hAnsi="Arial"/>
          <w:lang w:val="cs-CZ"/>
        </w:rPr>
        <w:t>starosta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Odstavecseseznamem"/>
        <w:autoSpaceDE w:val="false"/>
        <w:spacing w:lineRule="auto" w:line="240" w:before="0" w:after="0"/>
        <w:ind w:left="2421" w:right="0" w:hanging="0"/>
        <w:contextualSpacing/>
        <w:jc w:val="both"/>
        <w:rPr/>
      </w:pPr>
      <w:r>
        <w:rPr/>
      </w:r>
    </w:p>
    <w:p>
      <w:pPr>
        <w:pStyle w:val="Odstavecseseznamem"/>
        <w:numPr>
          <w:ilvl w:val="0"/>
          <w:numId w:val="6"/>
        </w:numPr>
        <w:autoSpaceDE w:val="false"/>
        <w:spacing w:lineRule="auto" w:line="240" w:before="0" w:after="0"/>
        <w:ind w:left="1418" w:right="0" w:hanging="851"/>
        <w:contextualSpacing/>
        <w:jc w:val="both"/>
        <w:rPr/>
      </w:pPr>
      <w:r>
        <w:rPr>
          <w:rFonts w:eastAsia="Times New Roman" w:cs="Arial" w:ascii="Arial" w:hAnsi="Arial"/>
          <w:color w:val="000000"/>
          <w:lang w:val="cs-CZ" w:eastAsia="cs-CZ"/>
        </w:rPr>
        <w:t xml:space="preserve">zastupitelstvo obce - projednáním stavu požární ochrany v obci minimálně                1 x za 6 měsíců; vždy po závažné mimořádné události mající vztah k požární ochraně v obci, </w:t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3</w:t>
        <w:br/>
        <w:t>Podmínky požární bezpečnosti při činnostech a v objektech se zvýšeným nebezpečím vzniku požáru se zřetelem na místní situaci</w:t>
      </w:r>
    </w:p>
    <w:p>
      <w:pPr>
        <w:pStyle w:val="Normal"/>
        <w:rPr>
          <w:rFonts w:ascii="Arial" w:hAnsi="Arial" w:cs="Arial"/>
          <w:b/>
          <w:b/>
          <w:bCs/>
          <w:i/>
          <w:i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i/>
          <w:i/>
          <w:iCs/>
          <w:color w:val="000000"/>
          <w:sz w:val="22"/>
          <w:szCs w:val="22"/>
          <w:highlight w:val="yellow"/>
          <w:u w:val="single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highlight w:val="yellow"/>
          <w:u w:val="single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nestanovila se zřetelem na místní situaci žádné činnosti ani objekty se zvýšeným nebezpečím vzniku požáru, ani podmínky požární bezpečnosti vztahující se k takovým činnostem či objektům.</w:t>
      </w:r>
    </w:p>
    <w:p>
      <w:pPr>
        <w:pStyle w:val="Normal"/>
        <w:ind w:firstLine="500"/>
        <w:jc w:val="both"/>
        <w:rPr>
          <w:rFonts w:ascii="Arial" w:hAnsi="Arial" w:cs="Arial"/>
          <w:b/>
          <w:b/>
          <w:i/>
          <w:i/>
          <w:color w:val="000000"/>
          <w:sz w:val="22"/>
          <w:szCs w:val="22"/>
        </w:rPr>
      </w:pPr>
      <w:r>
        <w:rPr>
          <w:rFonts w:cs="Arial" w:ascii="Arial" w:hAnsi="Arial"/>
          <w:b/>
          <w:i/>
          <w:color w:val="00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4</w:t>
        <w:br/>
        <w:t>Způsob nepřetržitého zabezpečení požární ochrany v obci</w:t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web"/>
        <w:numPr>
          <w:ilvl w:val="0"/>
          <w:numId w:val="7"/>
        </w:numPr>
        <w:spacing w:before="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Přijetí ohlášení požáru, živelní pohromy či jiné mimořádné události na území obce je zabezpečeno uvedeným čl. 7.    </w:t>
      </w:r>
    </w:p>
    <w:p>
      <w:pPr>
        <w:pStyle w:val="Normlnweb"/>
        <w:spacing w:before="0" w:after="0"/>
        <w:ind w:left="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7"/>
        </w:numPr>
        <w:spacing w:before="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5</w:t>
        <w:br/>
        <w:t>Kategorie jednotky sboru dobrovolných hasičů obce, její početní stav a vybavení</w:t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web"/>
        <w:numPr>
          <w:ilvl w:val="0"/>
          <w:numId w:val="2"/>
        </w:numPr>
        <w:spacing w:before="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zřídila JSDH obce, jejíž kategorie, početní stav a vybavení jsou uvedeny v příloze č. 2 vyhlášky. 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2"/>
        </w:numPr>
        <w:spacing w:before="0" w:after="0"/>
        <w:ind w:left="567" w:right="0" w:hanging="567"/>
        <w:rPr/>
      </w:pPr>
      <w:r>
        <w:rPr>
          <w:rFonts w:cs="Arial" w:ascii="Arial" w:hAnsi="Arial"/>
          <w:sz w:val="22"/>
          <w:szCs w:val="22"/>
        </w:rPr>
        <w:t>Členové JSDH obce se při vyhlášení požárního poplachu dostaví ve stanoveném čase do hasičské stanice JSDH obce na adrese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Dubné 59</w:t>
      </w:r>
      <w:r>
        <w:rPr>
          <w:rFonts w:cs="Arial" w:ascii="Arial" w:hAnsi="Arial"/>
          <w:sz w:val="22"/>
          <w:szCs w:val="22"/>
        </w:rPr>
        <w:t>, anebo na jiné místo, stanovené velitelem JSDH.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6</w:t>
        <w:br/>
        <w:t xml:space="preserve">Přehled o zdrojích vody pro hašení požárů a podmínky jejich trvalé použitelnosti </w:t>
      </w:r>
    </w:p>
    <w:p>
      <w:pPr>
        <w:pStyle w:val="Normlnweb"/>
        <w:spacing w:before="0" w:after="0"/>
        <w:ind w:left="0" w:right="0" w:hanging="0"/>
        <w:rPr>
          <w:rFonts w:ascii="Arial" w:hAnsi="Arial" w:cs="Arial"/>
          <w:b/>
          <w:b/>
          <w:bCs/>
          <w:i/>
          <w:i/>
          <w:iCs/>
          <w:strike/>
          <w:sz w:val="22"/>
          <w:szCs w:val="22"/>
        </w:rPr>
      </w:pPr>
      <w:r>
        <w:rPr>
          <w:rFonts w:cs="Arial" w:ascii="Arial" w:hAnsi="Arial"/>
          <w:b/>
          <w:bCs/>
          <w:i/>
          <w:iCs/>
          <w:strike/>
          <w:sz w:val="22"/>
          <w:szCs w:val="22"/>
        </w:rPr>
      </w:r>
    </w:p>
    <w:p>
      <w:pPr>
        <w:pStyle w:val="Normlnweb"/>
        <w:numPr>
          <w:ilvl w:val="0"/>
          <w:numId w:val="9"/>
        </w:numPr>
        <w:spacing w:before="0" w:after="0"/>
        <w:ind w:left="567" w:right="0" w:hanging="567"/>
        <w:rPr/>
      </w:pPr>
      <w:r>
        <w:rPr>
          <w:rFonts w:cs="Arial" w:ascii="Arial" w:hAnsi="Arial"/>
          <w:sz w:val="22"/>
          <w:szCs w:val="22"/>
        </w:rPr>
        <w:t>Zdroje vody pro hašení požárů jsou stanoveny v nařízení kraje.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 Zdroje vody pro hašení požárů na území obce jsou uvedeny v příloze č. 3 vyhlášky.</w:t>
      </w:r>
    </w:p>
    <w:p>
      <w:pPr>
        <w:pStyle w:val="Normlnweb"/>
        <w:spacing w:before="0" w:after="0"/>
        <w:ind w:left="0" w:right="0" w:hanging="0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7</w:t>
        <w:br/>
        <w:t>Seznam ohlašoven požárů a dalších míst, odkud lze hlásit požár, a způsob jejich označení</w:t>
      </w:r>
    </w:p>
    <w:p>
      <w:pPr>
        <w:pStyle w:val="Normlnweb"/>
        <w:spacing w:before="0" w:after="0"/>
        <w:ind w:left="567" w:right="0" w:hanging="0"/>
        <w:rPr>
          <w:rFonts w:ascii="Arial" w:hAnsi="Arial" w:cs="Arial"/>
          <w:sz w:val="22"/>
          <w:szCs w:val="22"/>
          <w:highlight w:val="cyan"/>
        </w:rPr>
      </w:pPr>
      <w:r>
        <w:rPr>
          <w:rFonts w:cs="Arial" w:ascii="Arial" w:hAnsi="Arial"/>
          <w:sz w:val="22"/>
          <w:szCs w:val="22"/>
          <w:highlight w:val="cyan"/>
        </w:rPr>
      </w:r>
    </w:p>
    <w:p>
      <w:pPr>
        <w:pStyle w:val="Normlnweb"/>
        <w:numPr>
          <w:ilvl w:val="0"/>
          <w:numId w:val="4"/>
        </w:numPr>
        <w:spacing w:before="0" w:after="0"/>
        <w:ind w:left="567" w:right="0" w:hanging="567"/>
        <w:rPr/>
      </w:pPr>
      <w:r>
        <w:rPr>
          <w:rFonts w:cs="Arial" w:ascii="Arial" w:hAnsi="Arial"/>
          <w:sz w:val="22"/>
          <w:szCs w:val="22"/>
        </w:rPr>
        <w:t>K ohlášení požáru může být použit každý mobilní telefon, dále soukromý napojený na veřejnou telefonní síť a to na tísňových tel.č.: 150 nebo 112.</w:t>
      </w:r>
    </w:p>
    <w:p>
      <w:pPr>
        <w:pStyle w:val="Normlnweb"/>
        <w:spacing w:before="0" w:after="0"/>
        <w:ind w:left="644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4"/>
        </w:numPr>
        <w:spacing w:before="0" w:after="0"/>
        <w:ind w:left="567" w:right="0" w:hanging="567"/>
        <w:rPr/>
      </w:pPr>
      <w:r>
        <w:rPr>
          <w:rFonts w:cs="Arial" w:ascii="Arial" w:hAnsi="Arial"/>
          <w:sz w:val="22"/>
          <w:szCs w:val="22"/>
        </w:rPr>
        <w:t>Obec Dubné má v době úředních hodin zřízenou ohlašovnu požáru. Ohlášení požáru je možno učinit v pracovní době na obecním úřadě – Dubné 60,373 84, tel. č. 387992034. Mimo tyto hodiny a o víkendech nebo svátcích je možné ohlásit požár na HZS Jč.k. na tel.č.: 150 nebo 112.</w:t>
      </w:r>
    </w:p>
    <w:p>
      <w:pPr>
        <w:pStyle w:val="Normlnweb"/>
        <w:spacing w:before="0" w:after="0"/>
        <w:ind w:left="567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</w:t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Nadpis4"/>
        <w:jc w:val="center"/>
        <w:rPr/>
      </w:pPr>
      <w:r>
        <w:rPr/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8</w:t>
        <w:br/>
        <w:t>Způsob vyhlášení požárního poplachu v obci</w:t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lnweb"/>
        <w:spacing w:before="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Vyhlášení požárního poplachu v obci se provádí: </w:t>
      </w:r>
    </w:p>
    <w:p>
      <w:pPr>
        <w:pStyle w:val="Normlnweb"/>
        <w:spacing w:before="0" w:after="0"/>
        <w:ind w:left="567" w:right="0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numPr>
          <w:ilvl w:val="0"/>
          <w:numId w:val="5"/>
        </w:numPr>
        <w:spacing w:before="0" w:after="0"/>
        <w:ind w:left="1418" w:right="0" w:hanging="851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>
      <w:pPr>
        <w:pStyle w:val="Normlnweb"/>
        <w:numPr>
          <w:ilvl w:val="0"/>
          <w:numId w:val="5"/>
        </w:numPr>
        <w:spacing w:before="0" w:after="0"/>
        <w:ind w:left="1418" w:right="0" w:hanging="851"/>
        <w:rPr/>
      </w:pPr>
      <w:r>
        <w:rPr>
          <w:rStyle w:val="FontStyle30"/>
          <w:rFonts w:cs="Arial" w:ascii="Arial" w:hAnsi="Arial"/>
        </w:rPr>
        <w:t>členové jednotky sboru dobrovolných hasičů jsou svoláváni za pomoci mobilních telefonů, přímo od OPISu HZS JČK.</w:t>
      </w:r>
    </w:p>
    <w:p>
      <w:pPr>
        <w:pStyle w:val="Normlnweb"/>
        <w:numPr>
          <w:ilvl w:val="0"/>
          <w:numId w:val="5"/>
        </w:numPr>
        <w:spacing w:before="0" w:after="0"/>
        <w:ind w:left="1418" w:right="0" w:hanging="851"/>
        <w:rPr/>
      </w:pPr>
      <w:r>
        <w:rPr>
          <w:rFonts w:cs="Arial" w:ascii="Arial" w:hAnsi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>obecním rozhlasem, dopravním prostředkem vybaveným audiotechnikou apod.</w:t>
      </w:r>
    </w:p>
    <w:p>
      <w:pPr>
        <w:pStyle w:val="Normlnweb"/>
        <w:spacing w:before="0" w:after="0"/>
        <w:ind w:left="1353" w:right="0" w:hanging="0"/>
        <w:rPr/>
      </w:pPr>
      <w:r>
        <w:rPr/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9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lnweb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web"/>
        <w:spacing w:before="0" w:after="0"/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cs="Arial" w:ascii="Arial" w:hAnsi="Arial"/>
          <w:color w:val="000000"/>
          <w:sz w:val="22"/>
          <w:szCs w:val="22"/>
        </w:rPr>
        <w:t>Jihočeského</w:t>
      </w:r>
      <w:r>
        <w:rPr>
          <w:rFonts w:cs="Arial" w:ascii="Arial" w:hAnsi="Arial"/>
          <w:sz w:val="22"/>
          <w:szCs w:val="22"/>
        </w:rPr>
        <w:t xml:space="preserve"> kraje je uveden v příloze </w:t>
      </w:r>
      <w:r>
        <w:rPr>
          <w:rFonts w:cs="Arial" w:ascii="Arial" w:hAnsi="Arial"/>
          <w:color w:val="000000"/>
          <w:sz w:val="22"/>
          <w:szCs w:val="22"/>
        </w:rPr>
        <w:t>č. 1 vyhlášky.</w:t>
      </w:r>
    </w:p>
    <w:p>
      <w:pPr>
        <w:pStyle w:val="Normlnweb"/>
        <w:spacing w:before="0" w:after="0"/>
        <w:ind w:left="0" w:right="0" w:hanging="0"/>
        <w:rPr/>
      </w:pPr>
      <w:r>
        <w:rPr/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10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Ostatní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right="0" w:hanging="0"/>
        <w:jc w:val="center"/>
        <w:rPr/>
      </w:pPr>
      <w:r>
        <w:rPr>
          <w:rFonts w:cs="Arial" w:ascii="Arial" w:hAnsi="Arial"/>
          <w:sz w:val="22"/>
          <w:szCs w:val="22"/>
        </w:rPr>
        <w:t>Tímto požárním řádem nejsou dotčeny povinnosti týkající se zabezpečení požární ochrany             v obci  Dubné,Křenovice,Jaronice,Třebín stanovené dalšími právními předpisy</w:t>
      </w:r>
      <w:r>
        <w:rPr>
          <w:rFonts w:cs="Arial" w:ascii="Arial" w:hAnsi="Arial"/>
          <w:i/>
          <w:iCs/>
          <w:sz w:val="20"/>
        </w:rPr>
        <w:t xml:space="preserve"> (zejména zákon o požární ochraně a prováděcí vyhlášky)</w:t>
      </w:r>
    </w:p>
    <w:p>
      <w:pPr>
        <w:pStyle w:val="Seznamoslovan"/>
        <w:spacing w:before="0" w:after="0"/>
        <w:ind w:left="0" w:right="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11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right="0" w:hanging="0"/>
        <w:rPr/>
      </w:pPr>
      <w:r>
        <w:rPr>
          <w:rFonts w:cs="Arial" w:ascii="Arial" w:hAnsi="Arial"/>
          <w:sz w:val="22"/>
          <w:szCs w:val="22"/>
        </w:rPr>
        <w:t>Touto vyhláškou se ruší obecně závazná vyhláška č. 1/2005 ze dne 1.3.2005</w:t>
      </w:r>
    </w:p>
    <w:p>
      <w:pPr>
        <w:pStyle w:val="Seznamoslovan"/>
        <w:spacing w:before="0" w:after="0"/>
        <w:ind w:left="0" w:right="0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12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Seznamoslovan"/>
        <w:spacing w:before="0" w:after="0"/>
        <w:ind w:left="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jejím schválením</w:t>
      </w:r>
    </w:p>
    <w:p>
      <w:pPr>
        <w:pStyle w:val="Nadpis5"/>
        <w:rPr>
          <w:rFonts w:ascii="Arial" w:hAnsi="Arial" w:cs="Arial"/>
          <w:i w:val="false"/>
          <w:i w:val="false"/>
          <w:iCs w:val="false"/>
          <w:color w:val="17365D"/>
          <w:sz w:val="22"/>
          <w:szCs w:val="22"/>
        </w:rPr>
      </w:pPr>
      <w:r>
        <w:rPr>
          <w:rFonts w:cs="Arial" w:ascii="Arial" w:hAnsi="Arial"/>
          <w:i w:val="false"/>
          <w:iCs w:val="false"/>
          <w:color w:val="17365D"/>
          <w:sz w:val="22"/>
          <w:szCs w:val="22"/>
        </w:rPr>
        <w:tab/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ab/>
        <w:tab/>
      </w:r>
    </w:p>
    <w:p>
      <w:pPr>
        <w:pStyle w:val="Normal"/>
        <w:spacing w:before="0" w:after="120"/>
        <w:rPr/>
      </w:pPr>
      <w:r>
        <w:rPr>
          <w:rFonts w:eastAsia="Arial" w:cs="Arial" w:ascii="Arial" w:hAnsi="Arial"/>
          <w:sz w:val="22"/>
          <w:szCs w:val="22"/>
        </w:rPr>
        <w:t xml:space="preserve">         </w:t>
      </w:r>
      <w:r>
        <w:rPr>
          <w:rFonts w:cs="Arial" w:ascii="Arial" w:hAnsi="Arial"/>
          <w:sz w:val="22"/>
          <w:szCs w:val="22"/>
        </w:rPr>
        <w:t>.............................</w:t>
        <w:tab/>
        <w:tab/>
        <w:tab/>
        <w:tab/>
        <w:tab/>
        <w:t xml:space="preserve"> ...................................</w:t>
      </w:r>
    </w:p>
    <w:p>
      <w:pPr>
        <w:pStyle w:val="Normal"/>
        <w:spacing w:before="0" w:after="120"/>
        <w:rPr/>
      </w:pPr>
      <w:r>
        <w:rPr>
          <w:rFonts w:cs="Arial" w:ascii="Arial" w:hAnsi="Arial"/>
          <w:sz w:val="22"/>
          <w:szCs w:val="22"/>
        </w:rPr>
        <w:tab/>
        <w:t>Petr Liebl</w:t>
        <w:tab/>
        <w:tab/>
        <w:tab/>
        <w:tab/>
        <w:tab/>
        <w:t xml:space="preserve">             Božena Kudláčková</w:t>
      </w:r>
    </w:p>
    <w:p>
      <w:pPr>
        <w:pStyle w:val="Normal"/>
        <w:spacing w:before="0" w:after="120"/>
        <w:rPr/>
      </w:pPr>
      <w:r>
        <w:rPr>
          <w:rFonts w:eastAsia="Arial" w:cs="Arial" w:ascii="Arial" w:hAnsi="Arial"/>
          <w:sz w:val="22"/>
          <w:szCs w:val="22"/>
        </w:rPr>
        <w:t xml:space="preserve">   </w:t>
      </w:r>
      <w:r>
        <w:rPr>
          <w:rFonts w:eastAsia="Arial" w:cs="Arial" w:ascii="Arial" w:hAnsi="Arial"/>
          <w:sz w:val="22"/>
          <w:szCs w:val="22"/>
        </w:rPr>
        <w:tab/>
      </w:r>
      <w:r>
        <w:rPr>
          <w:rFonts w:cs="Arial" w:ascii="Arial" w:hAnsi="Arial"/>
          <w:sz w:val="22"/>
          <w:szCs w:val="22"/>
        </w:rPr>
        <w:t>místostarosta</w:t>
        <w:tab/>
        <w:tab/>
        <w:tab/>
        <w:tab/>
        <w:tab/>
        <w:tab/>
        <w:tab/>
        <w:t>starostka</w:t>
      </w:r>
    </w:p>
    <w:p>
      <w:pPr>
        <w:pStyle w:val="Normal"/>
        <w:autoSpaceDE w:val="false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rPr>
          <w:rFonts w:ascii="Arial" w:hAnsi="Arial" w:eastAsia="Calibri" w:cs="Arial"/>
          <w:color w:val="000000"/>
          <w:sz w:val="22"/>
          <w:szCs w:val="22"/>
        </w:rPr>
      </w:pPr>
      <w:r>
        <w:rPr>
          <w:rFonts w:eastAsia="Calibri"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rPr>
          <w:rFonts w:ascii="Arial" w:hAnsi="Arial" w:eastAsia="Calibri" w:cs="Arial"/>
          <w:color w:val="000000"/>
          <w:sz w:val="22"/>
          <w:szCs w:val="22"/>
        </w:rPr>
      </w:pPr>
      <w:r>
        <w:rPr>
          <w:rFonts w:eastAsia="Calibri"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rPr>
          <w:rFonts w:ascii="Arial" w:hAnsi="Arial" w:eastAsia="Calibri" w:cs="Arial"/>
          <w:color w:val="000000"/>
          <w:sz w:val="22"/>
          <w:szCs w:val="22"/>
        </w:rPr>
      </w:pPr>
      <w:r>
        <w:rPr>
          <w:rFonts w:eastAsia="Calibri"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rPr>
          <w:rFonts w:ascii="Arial" w:hAnsi="Arial" w:eastAsia="Calibri" w:cs="Arial"/>
          <w:color w:val="000000"/>
          <w:sz w:val="22"/>
          <w:szCs w:val="22"/>
        </w:rPr>
      </w:pPr>
      <w:r>
        <w:rPr>
          <w:rFonts w:eastAsia="Calibri"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080" w:leader="none"/>
          <w:tab w:val="left" w:pos="7020" w:leader="none"/>
        </w:tabs>
        <w:rPr>
          <w:rFonts w:ascii="Arial" w:hAnsi="Arial" w:eastAsia="Calibri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</w:rPr>
      </w:r>
    </w:p>
    <w:p>
      <w:pPr>
        <w:pStyle w:val="Normal"/>
        <w:spacing w:before="0" w:after="120"/>
        <w:rPr/>
      </w:pPr>
      <w:r>
        <w:rPr>
          <w:rFonts w:cs="Arial" w:ascii="Arial" w:hAnsi="Arial"/>
          <w:b/>
          <w:sz w:val="22"/>
          <w:szCs w:val="22"/>
        </w:rPr>
        <w:t>Příloha č. 1 k obecně závazné vyhlášce č.1/2022,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z požárního poplachového plánu Jihočeského kraje.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drawing>
          <wp:inline distT="0" distB="0" distL="0" distR="0">
            <wp:extent cx="5743575" cy="472440"/>
            <wp:effectExtent l="0" t="0" r="0" b="0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92" r="-4" b="-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drawing>
          <wp:inline distT="0" distB="0" distL="0" distR="0">
            <wp:extent cx="5758180" cy="472440"/>
            <wp:effectExtent l="0" t="0" r="0" b="0"/>
            <wp:docPr id="2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3" t="-70" r="-3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/>
      </w:pPr>
      <w:r>
        <w:rPr>
          <w:rFonts w:cs="Arial" w:ascii="Arial" w:hAnsi="Arial"/>
          <w:b/>
          <w:sz w:val="22"/>
          <w:szCs w:val="22"/>
        </w:rPr>
        <w:t>Příloha č. 2 k obecně závazné vyhlášce č.1/2022,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 xml:space="preserve">Minimální početní stav členů JSDHO vychází z přílohy č.4 vyhlášky č.247/2001 Sb., o organizaci a činnosti jednotek požární ochrany, ve znění vyhlášky č. 226/2005 Sb.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Tímto je minimální počet členů JSDHO stanoven na 12 členů.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13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  <w:t>Požární technika a věcné prostředky požární ochrany JSDH obce.</w:t>
      </w:r>
    </w:p>
    <w:p>
      <w:pPr>
        <w:pStyle w:val="Normal"/>
        <w:jc w:val="both"/>
        <w:rPr>
          <w:rFonts w:ascii="Arial" w:hAnsi="Arial" w:cs="Arial"/>
          <w:b/>
          <w:b/>
          <w:bCs/>
          <w:i/>
          <w:i/>
          <w:iCs/>
          <w:sz w:val="22"/>
          <w:szCs w:val="22"/>
        </w:rPr>
      </w:pPr>
      <w:r>
        <w:rPr>
          <w:rFonts w:cs="Arial" w:ascii="Arial" w:hAnsi="Arial"/>
          <w:b/>
          <w:bCs/>
          <w:i/>
          <w:iCs/>
          <w:sz w:val="22"/>
          <w:szCs w:val="22"/>
        </w:rPr>
      </w:r>
    </w:p>
    <w:p>
      <w:pPr>
        <w:pStyle w:val="Normal"/>
        <w:spacing w:before="0" w:after="113"/>
        <w:jc w:val="both"/>
        <w:rPr/>
      </w:pPr>
      <w:r>
        <w:rPr>
          <w:rFonts w:cs="Arial" w:ascii="Arial" w:hAnsi="Arial"/>
          <w:sz w:val="22"/>
          <w:szCs w:val="22"/>
        </w:rPr>
        <w:t xml:space="preserve">Cisternová automobilová stříkačka Škoda 706 RTHP CAS 25 /3500 </w:t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  <w:sz w:val="22"/>
          <w:szCs w:val="22"/>
        </w:rPr>
        <w:t>Dopravní automobil Ford Tranzit k přepravě osob DA-L1Z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Přívěsná přenosná motorová stříkačka PPS 12</w:t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  <w:sz w:val="22"/>
          <w:szCs w:val="22"/>
        </w:rPr>
        <w:t>Plovoucí čerpadlo Aquafast Froggy C52 700l/min</w:t>
      </w:r>
    </w:p>
    <w:p>
      <w:pPr>
        <w:pStyle w:val="Normal"/>
        <w:spacing w:before="0" w:after="120"/>
        <w:jc w:val="both"/>
        <w:rPr>
          <w:rFonts w:ascii="Arial" w:hAnsi="Arial" w:cs="Arial"/>
        </w:rPr>
      </w:pPr>
      <w:r>
        <w:rPr>
          <w:rFonts w:cs="Arial" w:ascii="Arial" w:hAnsi="Arial"/>
        </w:rPr>
        <w:t>Plovoucí čerpadlo Honda B75 PH Cyklon B75 1500l/min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Kalové čerpadlo PH 1000 B75 1000l/min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Kalové el.čerpadlo C52</w:t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  <w:sz w:val="22"/>
          <w:szCs w:val="22"/>
        </w:rPr>
        <w:t xml:space="preserve">Elektrocentrála motorová s výkonem 2kW </w:t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  <w:sz w:val="22"/>
          <w:szCs w:val="22"/>
        </w:rPr>
        <w:t>Elektrocentrála motorová s výkonem 5,5KW</w:t>
      </w:r>
    </w:p>
    <w:p>
      <w:pPr>
        <w:pStyle w:val="Normal"/>
        <w:spacing w:before="0" w:after="120"/>
        <w:jc w:val="both"/>
        <w:rPr/>
      </w:pPr>
      <w:r>
        <w:rPr>
          <w:rFonts w:cs="Arial" w:ascii="Arial" w:hAnsi="Arial"/>
          <w:sz w:val="22"/>
          <w:szCs w:val="22"/>
        </w:rPr>
        <w:t>Motorová pila – 2ks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Dýchací technika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3 k obecně závazné vyhlášce č. 1/2020, kterou se vydává požární řád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numPr>
          <w:ilvl w:val="0"/>
          <w:numId w:val="8"/>
        </w:numPr>
        <w:spacing w:before="0" w:after="12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Přehled zdrojů vody (výpis z nařízení kraje + stanovené zdroje vody nad rámec tohoto nařízení kraje).</w:t>
      </w:r>
    </w:p>
    <w:p>
      <w:pPr>
        <w:pStyle w:val="Normlnweb"/>
        <w:spacing w:before="0" w:after="0"/>
        <w:ind w:left="0" w:right="0" w:hanging="0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  <w:lang w:val="cs-CZ" w:eastAsia="cs-CZ"/>
        </w:rPr>
        <w:drawing>
          <wp:inline distT="0" distB="0" distL="0" distR="0">
            <wp:extent cx="6344285" cy="1417955"/>
            <wp:effectExtent l="0" t="0" r="0" b="0"/>
            <wp:docPr id="3" name="obrázek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23" r="-3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8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lnweb"/>
        <w:spacing w:before="0" w:after="0"/>
        <w:ind w:left="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br/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lnweb"/>
        <w:spacing w:before="0" w:after="0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8"/>
        </w:numPr>
        <w:spacing w:before="0" w:after="120"/>
        <w:jc w:val="both"/>
        <w:rPr/>
      </w:pPr>
      <w:r>
        <w:rPr>
          <w:rFonts w:cs="Arial" w:ascii="Arial" w:hAnsi="Arial"/>
          <w:b/>
          <w:bCs/>
          <w:sz w:val="22"/>
          <w:szCs w:val="22"/>
        </w:rPr>
        <w:t>Plánek obce s vyznačením zdrojů vody pro hašení požárů, čerpacích stanovišť v obci Dubné</w:t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before="0" w:after="120"/>
        <w:ind w:left="720" w:hanging="0"/>
        <w:jc w:val="both"/>
        <w:rPr/>
      </w:pPr>
      <w:r>
        <w:rPr/>
        <w:drawing>
          <wp:inline distT="0" distB="0" distL="0" distR="0">
            <wp:extent cx="5757545" cy="3565525"/>
            <wp:effectExtent l="0" t="0" r="0" b="0"/>
            <wp:docPr id="4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" t="-8" r="-5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spacing w:before="0" w:after="120"/>
        <w:jc w:val="both"/>
        <w:rPr/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  <w:t>Plánek obce s vyznačením zdrojů vody pro hašení požárů, čerpacích stanovišť v obci Křenovice</w:t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720" w:hanging="0"/>
        <w:jc w:val="both"/>
        <w:rPr/>
      </w:pPr>
      <w:r>
        <w:rPr/>
        <w:drawing>
          <wp:inline distT="0" distB="0" distL="0" distR="0">
            <wp:extent cx="5755640" cy="2440940"/>
            <wp:effectExtent l="0" t="0" r="0" b="0"/>
            <wp:docPr id="5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4" t="-9" r="-4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360" w:hanging="0"/>
        <w:jc w:val="both"/>
        <w:rPr/>
      </w:pPr>
      <w:r>
        <w:rPr/>
      </w:r>
    </w:p>
    <w:p>
      <w:pPr>
        <w:pStyle w:val="Normal"/>
        <w:numPr>
          <w:ilvl w:val="0"/>
          <w:numId w:val="8"/>
        </w:numPr>
        <w:spacing w:before="0" w:after="12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  <w:t>Plánek obce s vyznačením zdrojů vody pro hašení požárů, čerpacích stanovišť v obci Jaronice</w:t>
      </w:r>
    </w:p>
    <w:p>
      <w:pPr>
        <w:pStyle w:val="Normal"/>
        <w:spacing w:before="0" w:after="120"/>
        <w:ind w:left="720" w:hanging="0"/>
        <w:jc w:val="both"/>
        <w:rPr/>
      </w:pPr>
      <w:r>
        <w:rPr/>
        <w:drawing>
          <wp:inline distT="0" distB="0" distL="0" distR="0">
            <wp:extent cx="5754370" cy="2512695"/>
            <wp:effectExtent l="0" t="0" r="0" b="0"/>
            <wp:docPr id="6" name="Obrázek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4" t="-8" r="-4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51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</w:r>
    </w:p>
    <w:p>
      <w:pPr>
        <w:pStyle w:val="Normal"/>
        <w:numPr>
          <w:ilvl w:val="0"/>
          <w:numId w:val="8"/>
        </w:numPr>
        <w:spacing w:before="0" w:after="120"/>
        <w:jc w:val="both"/>
        <w:rPr>
          <w:rFonts w:ascii="Arial" w:hAnsi="Arial" w:cs="Arial"/>
          <w:b/>
          <w:b/>
          <w:bCs/>
          <w:iCs/>
          <w:color w:val="000000"/>
          <w:sz w:val="22"/>
          <w:szCs w:val="22"/>
        </w:rPr>
      </w:pPr>
      <w:r>
        <w:rPr>
          <w:rFonts w:cs="Arial" w:ascii="Arial" w:hAnsi="Arial"/>
          <w:b/>
          <w:bCs/>
          <w:iCs/>
          <w:color w:val="000000"/>
          <w:sz w:val="22"/>
          <w:szCs w:val="22"/>
        </w:rPr>
        <w:t>Plánek obce s vyznačením zdrojů vody pro hašení požárů, čerpacích stanovišť v obci Třebín</w:t>
      </w:r>
    </w:p>
    <w:p>
      <w:pPr>
        <w:pStyle w:val="Normal"/>
        <w:spacing w:before="0" w:after="120"/>
        <w:ind w:left="720" w:hanging="0"/>
        <w:jc w:val="both"/>
        <w:rPr/>
      </w:pPr>
      <w:r>
        <w:rPr/>
        <w:drawing>
          <wp:inline distT="0" distB="0" distL="0" distR="0">
            <wp:extent cx="5754370" cy="2997835"/>
            <wp:effectExtent l="0" t="0" r="0" b="0"/>
            <wp:docPr id="7" name="Obrázek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6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" t="-8" r="-4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/>
      </w:pPr>
      <w:r>
        <w:rPr/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p>
      <w:pPr>
        <w:pStyle w:val="Normal"/>
        <w:spacing w:before="0" w:after="120"/>
        <w:ind w:left="720" w:hanging="0"/>
        <w:jc w:val="both"/>
        <w:rPr>
          <w:rFonts w:ascii="Arial" w:hAnsi="Arial" w:cs="Arial"/>
          <w:b/>
          <w:b/>
          <w:bCs/>
          <w:color w:val="000000"/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Default"/>
        <w:rPr>
          <w:rStyle w:val="Znakypropoznmkupodarou"/>
          <w:rFonts w:ascii="Arial" w:hAnsi="Arial" w:cs="Arial"/>
        </w:rPr>
      </w:pPr>
      <w:r>
        <w:rPr>
          <w:rStyle w:val="Znakypropoznmkupodarou"/>
        </w:rPr>
        <w:footnoteRef/>
      </w:r>
      <w:r>
        <w:rPr/>
      </w:r>
    </w:p>
    <w:p>
      <w:pPr>
        <w:pStyle w:val="Default"/>
        <w:rPr/>
      </w:pPr>
      <w:r>
        <w:rPr>
          <w:sz w:val="20"/>
          <w:szCs w:val="20"/>
          <w:vertAlign w:val="superscript"/>
        </w:rPr>
        <w:tab/>
        <w:t>1</w:t>
      </w:r>
      <w:r>
        <w:rPr>
          <w:sz w:val="20"/>
          <w:szCs w:val="20"/>
        </w:rPr>
        <w:t xml:space="preserve"> Nařízení Jihočeského kraje č. </w:t>
      </w:r>
      <w:r>
        <w:rPr>
          <w:bCs/>
          <w:sz w:val="20"/>
          <w:szCs w:val="20"/>
        </w:rPr>
        <w:t>2/2015 ze dne 5. 2. 2015, kterým se stanoví podmínky k zabezpečení zdrojů vody k hašení požárů, příloha č.1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Nadpis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Nadpis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Nadpis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  <w:color w:val="000000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i w:val="false"/>
        <w:b w:val="false"/>
        <w:rFonts w:cs="Arial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22"/>
        <w:szCs w:val="22"/>
        <w:rFonts w:ascii="Arial" w:hAnsi="Arial" w:cs="Arial"/>
        <w:color w:val="000000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rFonts w:cs="Arial"/>
        <w:color w:val="000000"/>
        <w:lang w:val="cs-CZ"/>
      </w:r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  <w:rFonts w:ascii="Arial" w:hAnsi="Arial" w:cs="Arial"/>
      </w:rPr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98"/>
  <w:displayBackgroundShape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eastAsia="Times New Roman" w:cs="Times New Roman"/>
    </w:rPr>
  </w:style>
  <w:style w:type="character" w:styleId="WW8Num2z0">
    <w:name w:val="WW8Num2z0"/>
    <w:qFormat/>
    <w:rPr>
      <w:rFonts w:ascii="Arial" w:hAnsi="Arial" w:cs="Arial"/>
      <w:sz w:val="22"/>
      <w:szCs w:val="22"/>
    </w:rPr>
  </w:style>
  <w:style w:type="character" w:styleId="WW8Num3z0">
    <w:name w:val="WW8Num3z0"/>
    <w:qFormat/>
    <w:rPr>
      <w:rFonts w:ascii="Arial" w:hAnsi="Arial" w:cs="Arial"/>
      <w:color w:val="000000"/>
      <w:sz w:val="22"/>
      <w:szCs w:val="22"/>
    </w:rPr>
  </w:style>
  <w:style w:type="character" w:styleId="WW8Num4z0">
    <w:name w:val="WW8Num4z0"/>
    <w:qFormat/>
    <w:rPr>
      <w:rFonts w:cs="Arial"/>
      <w:b w:val="false"/>
      <w:i w:val="false"/>
    </w:rPr>
  </w:style>
  <w:style w:type="character" w:styleId="WW8Num5z0">
    <w:name w:val="WW8Num5z0"/>
    <w:qFormat/>
    <w:rPr>
      <w:rFonts w:ascii="Arial" w:hAnsi="Arial" w:cs="Arial"/>
      <w:color w:val="000000"/>
      <w:sz w:val="22"/>
      <w:szCs w:val="22"/>
    </w:rPr>
  </w:style>
  <w:style w:type="character" w:styleId="WW8Num6z0">
    <w:name w:val="WW8Num6z0"/>
    <w:qFormat/>
    <w:rPr>
      <w:rFonts w:cs="Arial"/>
      <w:color w:val="000000"/>
      <w:lang w:val="cs-CZ"/>
    </w:rPr>
  </w:style>
  <w:style w:type="character" w:styleId="WW8Num7z0">
    <w:name w:val="WW8Num7z0"/>
    <w:qFormat/>
    <w:rPr>
      <w:rFonts w:ascii="Arial" w:hAnsi="Arial" w:cs="Arial"/>
      <w:sz w:val="22"/>
      <w:szCs w:val="22"/>
    </w:rPr>
  </w:style>
  <w:style w:type="character" w:styleId="WW8Num8z0">
    <w:name w:val="WW8Num8z0"/>
    <w:qFormat/>
    <w:rPr>
      <w:rFonts w:cs="Arial"/>
    </w:rPr>
  </w:style>
  <w:style w:type="character" w:styleId="WW8Num9z0">
    <w:name w:val="WW8Num9z0"/>
    <w:qFormat/>
    <w:rPr>
      <w:rFonts w:cs="Arial"/>
    </w:rPr>
  </w:style>
  <w:style w:type="character" w:styleId="Standardnpsmoodstavce">
    <w:name w:val="Standardní písmo odstavce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10z0">
    <w:name w:val="WW8Num10z0"/>
    <w:qFormat/>
    <w:rPr>
      <w:rFonts w:cs="Arial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>
      <w:color w:val="00000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Arial" w:hAnsi="Arial" w:eastAsia="Times New Roman" w:cs="Arial"/>
      <w:color w:val="0070C0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>
      <w:rFonts w:cs="Arial"/>
    </w:rPr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color w:val="000000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color w:val="4F81BD"/>
    </w:rPr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b w:val="false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ascii="Arial" w:hAnsi="Arial" w:cs="Arial"/>
      <w:color w:val="000000"/>
      <w:sz w:val="22"/>
      <w:szCs w:val="22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cs="Arial"/>
      <w:b w:val="false"/>
      <w:i w:val="false"/>
    </w:rPr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8z0">
    <w:name w:val="WW8Num28z0"/>
    <w:qFormat/>
    <w:rPr>
      <w:rFonts w:ascii="Arial" w:hAnsi="Arial" w:eastAsia="Times New Roman" w:cs="Arial"/>
      <w:color w:val="0070C0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>
      <w:b w:val="false"/>
    </w:rPr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Arial" w:hAnsi="Arial" w:cs="Arial"/>
      <w:color w:val="000000"/>
      <w:sz w:val="22"/>
      <w:szCs w:val="22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cs="Arial"/>
      <w:color w:val="000000"/>
      <w:lang w:val="cs-CZ"/>
    </w:rPr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3z1">
    <w:name w:val="WW8Num33z1"/>
    <w:qFormat/>
    <w:rPr/>
  </w:style>
  <w:style w:type="character" w:styleId="WW8Num33z2">
    <w:name w:val="WW8Num33z2"/>
    <w:qFormat/>
    <w:rPr/>
  </w:style>
  <w:style w:type="character" w:styleId="WW8Num33z3">
    <w:name w:val="WW8Num33z3"/>
    <w:qFormat/>
    <w:rPr/>
  </w:style>
  <w:style w:type="character" w:styleId="WW8Num33z4">
    <w:name w:val="WW8Num33z4"/>
    <w:qFormat/>
    <w:rPr/>
  </w:style>
  <w:style w:type="character" w:styleId="WW8Num33z5">
    <w:name w:val="WW8Num33z5"/>
    <w:qFormat/>
    <w:rPr/>
  </w:style>
  <w:style w:type="character" w:styleId="WW8Num33z6">
    <w:name w:val="WW8Num33z6"/>
    <w:qFormat/>
    <w:rPr/>
  </w:style>
  <w:style w:type="character" w:styleId="WW8Num33z7">
    <w:name w:val="WW8Num33z7"/>
    <w:qFormat/>
    <w:rPr/>
  </w:style>
  <w:style w:type="character" w:styleId="WW8Num33z8">
    <w:name w:val="WW8Num33z8"/>
    <w:qFormat/>
    <w:rPr/>
  </w:style>
  <w:style w:type="character" w:styleId="WW8Num34z0">
    <w:name w:val="WW8Num34z0"/>
    <w:qFormat/>
    <w:rPr>
      <w:b w:val="false"/>
      <w:u w:val="none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strike w:val="false"/>
      <w:dstrike w:val="false"/>
      <w:color w:val="000000"/>
    </w:rPr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7z1">
    <w:name w:val="WW8Num37z1"/>
    <w:qFormat/>
    <w:rPr/>
  </w:style>
  <w:style w:type="character" w:styleId="WW8Num37z2">
    <w:name w:val="WW8Num37z2"/>
    <w:qFormat/>
    <w:rPr/>
  </w:style>
  <w:style w:type="character" w:styleId="WW8Num37z3">
    <w:name w:val="WW8Num37z3"/>
    <w:qFormat/>
    <w:rPr/>
  </w:style>
  <w:style w:type="character" w:styleId="WW8Num37z4">
    <w:name w:val="WW8Num37z4"/>
    <w:qFormat/>
    <w:rPr/>
  </w:style>
  <w:style w:type="character" w:styleId="WW8Num37z5">
    <w:name w:val="WW8Num37z5"/>
    <w:qFormat/>
    <w:rPr/>
  </w:style>
  <w:style w:type="character" w:styleId="WW8Num37z6">
    <w:name w:val="WW8Num37z6"/>
    <w:qFormat/>
    <w:rPr/>
  </w:style>
  <w:style w:type="character" w:styleId="WW8Num37z7">
    <w:name w:val="WW8Num37z7"/>
    <w:qFormat/>
    <w:rPr/>
  </w:style>
  <w:style w:type="character" w:styleId="WW8Num37z8">
    <w:name w:val="WW8Num37z8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>
      <w:color w:val="000000"/>
    </w:rPr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0z1">
    <w:name w:val="WW8Num40z1"/>
    <w:qFormat/>
    <w:rPr/>
  </w:style>
  <w:style w:type="character" w:styleId="WW8Num40z2">
    <w:name w:val="WW8Num40z2"/>
    <w:qFormat/>
    <w:rPr/>
  </w:style>
  <w:style w:type="character" w:styleId="WW8Num40z3">
    <w:name w:val="WW8Num40z3"/>
    <w:qFormat/>
    <w:rPr/>
  </w:style>
  <w:style w:type="character" w:styleId="WW8Num40z4">
    <w:name w:val="WW8Num40z4"/>
    <w:qFormat/>
    <w:rPr/>
  </w:style>
  <w:style w:type="character" w:styleId="WW8Num40z5">
    <w:name w:val="WW8Num40z5"/>
    <w:qFormat/>
    <w:rPr/>
  </w:style>
  <w:style w:type="character" w:styleId="WW8Num40z6">
    <w:name w:val="WW8Num40z6"/>
    <w:qFormat/>
    <w:rPr/>
  </w:style>
  <w:style w:type="character" w:styleId="WW8Num40z7">
    <w:name w:val="WW8Num40z7"/>
    <w:qFormat/>
    <w:rPr/>
  </w:style>
  <w:style w:type="character" w:styleId="WW8Num40z8">
    <w:name w:val="WW8Num40z8"/>
    <w:qFormat/>
    <w:rPr/>
  </w:style>
  <w:style w:type="character" w:styleId="WW8Num41z0">
    <w:name w:val="WW8Num41z0"/>
    <w:qFormat/>
    <w:rPr>
      <w:rFonts w:ascii="Arial" w:hAnsi="Arial" w:cs="Arial"/>
      <w:sz w:val="22"/>
      <w:szCs w:val="22"/>
    </w:rPr>
  </w:style>
  <w:style w:type="character" w:styleId="WW8Num41z1">
    <w:name w:val="WW8Num41z1"/>
    <w:qFormat/>
    <w:rPr/>
  </w:style>
  <w:style w:type="character" w:styleId="WW8Num41z2">
    <w:name w:val="WW8Num41z2"/>
    <w:qFormat/>
    <w:rPr/>
  </w:style>
  <w:style w:type="character" w:styleId="WW8Num41z3">
    <w:name w:val="WW8Num41z3"/>
    <w:qFormat/>
    <w:rPr/>
  </w:style>
  <w:style w:type="character" w:styleId="WW8Num41z4">
    <w:name w:val="WW8Num41z4"/>
    <w:qFormat/>
    <w:rPr/>
  </w:style>
  <w:style w:type="character" w:styleId="WW8Num41z5">
    <w:name w:val="WW8Num41z5"/>
    <w:qFormat/>
    <w:rPr/>
  </w:style>
  <w:style w:type="character" w:styleId="WW8Num41z6">
    <w:name w:val="WW8Num41z6"/>
    <w:qFormat/>
    <w:rPr/>
  </w:style>
  <w:style w:type="character" w:styleId="WW8Num41z7">
    <w:name w:val="WW8Num41z7"/>
    <w:qFormat/>
    <w:rPr/>
  </w:style>
  <w:style w:type="character" w:styleId="WW8Num41z8">
    <w:name w:val="WW8Num41z8"/>
    <w:qFormat/>
    <w:rPr/>
  </w:style>
  <w:style w:type="character" w:styleId="WW8Num42z0">
    <w:name w:val="WW8Num42z0"/>
    <w:qFormat/>
    <w:rPr/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/>
  </w:style>
  <w:style w:type="character" w:styleId="WW8Num43z1">
    <w:name w:val="WW8Num43z1"/>
    <w:qFormat/>
    <w:rPr/>
  </w:style>
  <w:style w:type="character" w:styleId="WW8Num43z2">
    <w:name w:val="WW8Num43z2"/>
    <w:qFormat/>
    <w:rPr/>
  </w:style>
  <w:style w:type="character" w:styleId="WW8Num43z3">
    <w:name w:val="WW8Num43z3"/>
    <w:qFormat/>
    <w:rPr/>
  </w:style>
  <w:style w:type="character" w:styleId="WW8Num43z4">
    <w:name w:val="WW8Num43z4"/>
    <w:qFormat/>
    <w:rPr/>
  </w:style>
  <w:style w:type="character" w:styleId="WW8Num43z5">
    <w:name w:val="WW8Num43z5"/>
    <w:qFormat/>
    <w:rPr/>
  </w:style>
  <w:style w:type="character" w:styleId="WW8Num43z6">
    <w:name w:val="WW8Num43z6"/>
    <w:qFormat/>
    <w:rPr/>
  </w:style>
  <w:style w:type="character" w:styleId="WW8Num43z7">
    <w:name w:val="WW8Num43z7"/>
    <w:qFormat/>
    <w:rPr/>
  </w:style>
  <w:style w:type="character" w:styleId="WW8Num43z8">
    <w:name w:val="WW8Num43z8"/>
    <w:qFormat/>
    <w:rPr/>
  </w:style>
  <w:style w:type="character" w:styleId="WW8Num44z0">
    <w:name w:val="WW8Num44z0"/>
    <w:qFormat/>
    <w:rPr/>
  </w:style>
  <w:style w:type="character" w:styleId="WW8Num44z1">
    <w:name w:val="WW8Num44z1"/>
    <w:qFormat/>
    <w:rPr/>
  </w:style>
  <w:style w:type="character" w:styleId="WW8Num44z2">
    <w:name w:val="WW8Num44z2"/>
    <w:qFormat/>
    <w:rPr/>
  </w:style>
  <w:style w:type="character" w:styleId="WW8Num44z3">
    <w:name w:val="WW8Num44z3"/>
    <w:qFormat/>
    <w:rPr/>
  </w:style>
  <w:style w:type="character" w:styleId="WW8Num44z4">
    <w:name w:val="WW8Num44z4"/>
    <w:qFormat/>
    <w:rPr/>
  </w:style>
  <w:style w:type="character" w:styleId="WW8Num44z5">
    <w:name w:val="WW8Num44z5"/>
    <w:qFormat/>
    <w:rPr/>
  </w:style>
  <w:style w:type="character" w:styleId="WW8Num44z6">
    <w:name w:val="WW8Num44z6"/>
    <w:qFormat/>
    <w:rPr/>
  </w:style>
  <w:style w:type="character" w:styleId="WW8Num44z7">
    <w:name w:val="WW8Num44z7"/>
    <w:qFormat/>
    <w:rPr/>
  </w:style>
  <w:style w:type="character" w:styleId="WW8Num44z8">
    <w:name w:val="WW8Num44z8"/>
    <w:qFormat/>
    <w:rPr/>
  </w:style>
  <w:style w:type="character" w:styleId="WW8Num45z0">
    <w:name w:val="WW8Num45z0"/>
    <w:qFormat/>
    <w:rPr>
      <w:rFonts w:cs="Arial"/>
    </w:rPr>
  </w:style>
  <w:style w:type="character" w:styleId="WW8Num45z1">
    <w:name w:val="WW8Num45z1"/>
    <w:qFormat/>
    <w:rPr/>
  </w:style>
  <w:style w:type="character" w:styleId="WW8Num45z2">
    <w:name w:val="WW8Num45z2"/>
    <w:qFormat/>
    <w:rPr/>
  </w:style>
  <w:style w:type="character" w:styleId="WW8Num45z3">
    <w:name w:val="WW8Num45z3"/>
    <w:qFormat/>
    <w:rPr/>
  </w:style>
  <w:style w:type="character" w:styleId="WW8Num45z4">
    <w:name w:val="WW8Num45z4"/>
    <w:qFormat/>
    <w:rPr/>
  </w:style>
  <w:style w:type="character" w:styleId="WW8Num45z5">
    <w:name w:val="WW8Num45z5"/>
    <w:qFormat/>
    <w:rPr/>
  </w:style>
  <w:style w:type="character" w:styleId="WW8Num45z6">
    <w:name w:val="WW8Num45z6"/>
    <w:qFormat/>
    <w:rPr/>
  </w:style>
  <w:style w:type="character" w:styleId="WW8Num45z7">
    <w:name w:val="WW8Num45z7"/>
    <w:qFormat/>
    <w:rPr/>
  </w:style>
  <w:style w:type="character" w:styleId="WW8Num45z8">
    <w:name w:val="WW8Num45z8"/>
    <w:qFormat/>
    <w:rPr/>
  </w:style>
  <w:style w:type="character" w:styleId="WW8Num46z0">
    <w:name w:val="WW8Num46z0"/>
    <w:qFormat/>
    <w:rPr>
      <w:rFonts w:cs="Arial"/>
    </w:rPr>
  </w:style>
  <w:style w:type="character" w:styleId="WW8Num46z1">
    <w:name w:val="WW8Num46z1"/>
    <w:qFormat/>
    <w:rPr/>
  </w:style>
  <w:style w:type="character" w:styleId="WW8Num46z2">
    <w:name w:val="WW8Num46z2"/>
    <w:qFormat/>
    <w:rPr/>
  </w:style>
  <w:style w:type="character" w:styleId="WW8Num46z3">
    <w:name w:val="WW8Num46z3"/>
    <w:qFormat/>
    <w:rPr/>
  </w:style>
  <w:style w:type="character" w:styleId="WW8Num46z4">
    <w:name w:val="WW8Num46z4"/>
    <w:qFormat/>
    <w:rPr/>
  </w:style>
  <w:style w:type="character" w:styleId="WW8Num46z5">
    <w:name w:val="WW8Num46z5"/>
    <w:qFormat/>
    <w:rPr/>
  </w:style>
  <w:style w:type="character" w:styleId="WW8Num46z6">
    <w:name w:val="WW8Num46z6"/>
    <w:qFormat/>
    <w:rPr/>
  </w:style>
  <w:style w:type="character" w:styleId="WW8Num46z7">
    <w:name w:val="WW8Num46z7"/>
    <w:qFormat/>
    <w:rPr/>
  </w:style>
  <w:style w:type="character" w:styleId="WW8Num46z8">
    <w:name w:val="WW8Num46z8"/>
    <w:qFormat/>
    <w:rPr/>
  </w:style>
  <w:style w:type="character" w:styleId="WW8Num47z0">
    <w:name w:val="WW8Num47z0"/>
    <w:qFormat/>
    <w:rPr/>
  </w:style>
  <w:style w:type="character" w:styleId="WW8Num47z1">
    <w:name w:val="WW8Num47z1"/>
    <w:qFormat/>
    <w:rPr/>
  </w:style>
  <w:style w:type="character" w:styleId="WW8Num47z2">
    <w:name w:val="WW8Num47z2"/>
    <w:qFormat/>
    <w:rPr/>
  </w:style>
  <w:style w:type="character" w:styleId="WW8Num47z3">
    <w:name w:val="WW8Num47z3"/>
    <w:qFormat/>
    <w:rPr/>
  </w:style>
  <w:style w:type="character" w:styleId="WW8Num47z4">
    <w:name w:val="WW8Num47z4"/>
    <w:qFormat/>
    <w:rPr/>
  </w:style>
  <w:style w:type="character" w:styleId="WW8Num47z5">
    <w:name w:val="WW8Num47z5"/>
    <w:qFormat/>
    <w:rPr/>
  </w:style>
  <w:style w:type="character" w:styleId="WW8Num47z6">
    <w:name w:val="WW8Num47z6"/>
    <w:qFormat/>
    <w:rPr/>
  </w:style>
  <w:style w:type="character" w:styleId="WW8Num47z7">
    <w:name w:val="WW8Num47z7"/>
    <w:qFormat/>
    <w:rPr/>
  </w:style>
  <w:style w:type="character" w:styleId="WW8Num47z8">
    <w:name w:val="WW8Num47z8"/>
    <w:qFormat/>
    <w:rPr/>
  </w:style>
  <w:style w:type="character" w:styleId="WW8Num48z0">
    <w:name w:val="WW8Num48z0"/>
    <w:qFormat/>
    <w:rPr/>
  </w:style>
  <w:style w:type="character" w:styleId="WW8Num48z1">
    <w:name w:val="WW8Num48z1"/>
    <w:qFormat/>
    <w:rPr/>
  </w:style>
  <w:style w:type="character" w:styleId="WW8Num48z2">
    <w:name w:val="WW8Num48z2"/>
    <w:qFormat/>
    <w:rPr/>
  </w:style>
  <w:style w:type="character" w:styleId="WW8Num48z3">
    <w:name w:val="WW8Num48z3"/>
    <w:qFormat/>
    <w:rPr/>
  </w:style>
  <w:style w:type="character" w:styleId="WW8Num48z4">
    <w:name w:val="WW8Num48z4"/>
    <w:qFormat/>
    <w:rPr/>
  </w:style>
  <w:style w:type="character" w:styleId="WW8Num48z5">
    <w:name w:val="WW8Num48z5"/>
    <w:qFormat/>
    <w:rPr/>
  </w:style>
  <w:style w:type="character" w:styleId="WW8Num48z6">
    <w:name w:val="WW8Num48z6"/>
    <w:qFormat/>
    <w:rPr/>
  </w:style>
  <w:style w:type="character" w:styleId="WW8Num48z7">
    <w:name w:val="WW8Num48z7"/>
    <w:qFormat/>
    <w:rPr/>
  </w:style>
  <w:style w:type="character" w:styleId="WW8Num48z8">
    <w:name w:val="WW8Num48z8"/>
    <w:qFormat/>
    <w:rPr/>
  </w:style>
  <w:style w:type="character" w:styleId="Standardnpsmoodstavce1">
    <w:name w:val="Standardní písmo odstavce1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1">
    <w:name w:val="Odkaz na komentář1"/>
    <w:qFormat/>
    <w:rPr>
      <w:sz w:val="16"/>
      <w:szCs w:val="16"/>
    </w:rPr>
  </w:style>
  <w:style w:type="character" w:styleId="Nadpis4Char">
    <w:name w:val="Nadpis 4 Char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>
    <w:name w:val="Nadpis 5 Char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>
    <w:name w:val="Text pozn. pod čarou Char"/>
    <w:qFormat/>
    <w:rPr>
      <w:lang w:val="cs-CZ" w:eastAsia="cs-CZ"/>
    </w:rPr>
  </w:style>
  <w:style w:type="character" w:styleId="NzevChar">
    <w:name w:val="Název Char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>
    <w:name w:val="Základní text 3 Char"/>
    <w:qFormat/>
    <w:rPr>
      <w:sz w:val="16"/>
      <w:szCs w:val="16"/>
    </w:rPr>
  </w:style>
  <w:style w:type="character" w:styleId="Nadpis7Char">
    <w:name w:val="Nadpis 7 Char"/>
    <w:qFormat/>
    <w:rPr>
      <w:rFonts w:ascii="Calibri" w:hAnsi="Calibri" w:eastAsia="Times New Roman" w:cs="Times New Roman"/>
      <w:sz w:val="24"/>
      <w:szCs w:val="24"/>
    </w:rPr>
  </w:style>
  <w:style w:type="character" w:styleId="FontStyle30">
    <w:name w:val="Font Style30"/>
    <w:qFormat/>
    <w:rPr>
      <w:rFonts w:ascii="Times New Roman" w:hAnsi="Times New Roman" w:cs="Times New Roman"/>
      <w:sz w:val="22"/>
      <w:szCs w:val="22"/>
    </w:rPr>
  </w:style>
  <w:style w:type="character" w:styleId="Znakapoznpodarou">
    <w:name w:val="Značka pozn. pod čarou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Odkaznavysvtlivky">
    <w:name w:val="Odkaz na vysvětlivky"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Normal"/>
    <w:qFormat/>
    <w:pPr>
      <w:spacing w:before="240" w:after="60"/>
      <w:jc w:val="center"/>
    </w:pPr>
    <w:rPr>
      <w:rFonts w:ascii="Cambria" w:hAnsi="Cambria" w:eastAsia="Times New Roman" w:cs="Times New Roman"/>
      <w:b/>
      <w:bCs/>
      <w:kern w:val="2"/>
      <w:sz w:val="32"/>
      <w:szCs w:val="32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;Lucida Sans Unicode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;Lucida Sans Unicode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Lucida Sans;Lucida Sans Unicode"/>
      <w:i/>
      <w:iCs/>
      <w:sz w:val="24"/>
      <w:szCs w:val="24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Zkladntextodsazen21">
    <w:name w:val="Základní text odsazený 21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1">
    <w:name w:val="Text komentáře1"/>
    <w:basedOn w:val="Normal"/>
    <w:qFormat/>
    <w:pPr/>
    <w:rPr>
      <w:sz w:val="20"/>
      <w:szCs w:val="20"/>
    </w:rPr>
  </w:style>
  <w:style w:type="paragraph" w:styleId="Zkladntextodsazen31">
    <w:name w:val="Základní text odsazený 31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Normlnweb">
    <w:name w:val="Normální (web)"/>
    <w:basedOn w:val="Normal"/>
    <w:qFormat/>
    <w:pPr>
      <w:spacing w:before="280" w:after="280"/>
      <w:ind w:left="0" w:right="0" w:firstLine="500"/>
      <w:jc w:val="both"/>
    </w:pPr>
    <w:rPr>
      <w:color w:val="000000"/>
    </w:rPr>
  </w:style>
  <w:style w:type="paragraph" w:styleId="Nzevzkona">
    <w:name w:val="název zákona"/>
    <w:basedOn w:val="Nadpis"/>
    <w:qFormat/>
    <w:pPr/>
    <w:rPr/>
  </w:style>
  <w:style w:type="paragraph" w:styleId="Seznamoslovan">
    <w:name w:val="Seznam očíslovaný"/>
    <w:basedOn w:val="Tlotextu"/>
    <w:qFormat/>
    <w:pPr>
      <w:widowControl w:val="false"/>
      <w:spacing w:before="0" w:after="113"/>
      <w:ind w:left="425" w:right="0" w:hanging="424"/>
      <w:jc w:val="both"/>
    </w:pPr>
    <w:rPr/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  <w:lang w:val="en-GB"/>
    </w:rPr>
  </w:style>
  <w:style w:type="paragraph" w:styleId="Zkladntext31">
    <w:name w:val="Základní text 31"/>
    <w:basedOn w:val="Normal"/>
    <w:qFormat/>
    <w:pPr>
      <w:spacing w:before="0" w:after="120"/>
    </w:pPr>
    <w:rPr>
      <w:sz w:val="16"/>
      <w:szCs w:val="16"/>
    </w:rPr>
  </w:style>
  <w:style w:type="paragraph" w:styleId="Hlava">
    <w:name w:val="Hlava"/>
    <w:basedOn w:val="Normal"/>
    <w:qFormat/>
    <w:pPr>
      <w:autoSpaceDE w:val="false"/>
      <w:spacing w:before="240" w:after="0"/>
      <w:jc w:val="center"/>
    </w:pPr>
    <w:rPr/>
  </w:style>
  <w:style w:type="paragraph" w:styleId="Style11">
    <w:name w:val="Style11"/>
    <w:basedOn w:val="Normal"/>
    <w:qFormat/>
    <w:pPr>
      <w:widowControl w:val="false"/>
      <w:autoSpaceDE w:val="false"/>
      <w:spacing w:lineRule="exact" w:line="283"/>
      <w:ind w:left="0" w:right="0" w:hanging="331"/>
    </w:pPr>
    <w:rPr/>
  </w:style>
  <w:style w:type="paragraph" w:styleId="Style17">
    <w:name w:val="Style17"/>
    <w:basedOn w:val="Normal"/>
    <w:qFormat/>
    <w:pPr>
      <w:widowControl w:val="false"/>
      <w:autoSpaceDE w:val="false"/>
      <w:spacing w:lineRule="exact" w:line="269"/>
      <w:ind w:left="0" w:right="0" w:firstLine="528"/>
      <w:jc w:val="both"/>
    </w:pPr>
    <w:rPr/>
  </w:style>
  <w:style w:type="paragraph" w:styleId="Style91">
    <w:name w:val="Style9"/>
    <w:basedOn w:val="Normal"/>
    <w:qFormat/>
    <w:pPr>
      <w:widowControl w:val="false"/>
      <w:autoSpaceDE w:val="false"/>
    </w:pPr>
    <w:rPr/>
  </w:style>
  <w:style w:type="paragraph" w:styleId="Style41">
    <w:name w:val="Style4"/>
    <w:basedOn w:val="Normal"/>
    <w:qFormat/>
    <w:pPr>
      <w:widowControl w:val="false"/>
      <w:autoSpaceDE w:val="false"/>
      <w:spacing w:lineRule="exact" w:line="275"/>
      <w:ind w:left="0" w:right="0" w:firstLine="480"/>
      <w:jc w:val="both"/>
    </w:pPr>
    <w:rPr/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cs-CZ" w:eastAsia="zh-CN" w:bidi="ar-SA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Application>LibreOffice/7.3.2.2$Windows_X86_64 LibreOffice_project/49f2b1bff42cfccbd8f788c8dc32c1c309559be0</Application>
  <AppVersion>15.0000</AppVersion>
  <Pages>11</Pages>
  <Words>989</Words>
  <Characters>5486</Characters>
  <CharactersWithSpaces>6638</CharactersWithSpaces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2022-02-14T08:54:00Z</dcterms:created>
  <dc:creator>DA210036</dc:creator>
  <dc:description/>
  <cp:keywords/>
  <dc:language>cs-CZ</dc:language>
  <cp:lastModifiedBy>Kudlackova</cp:lastModifiedBy>
  <cp:lastPrinted>2024-05-07T17:04:00Z</cp:lastPrinted>
  <dcterms:modified xsi:type="dcterms:W3CDTF">2024-05-11T15:39:00Z</dcterms:modified>
  <cp:revision>12</cp:revision>
  <dc:subject/>
  <dc:title>Vzor obecně závazné vyhlášky obce o stanovení systému shromažďování, sběru, přepravy, třídění, využívání a odstraňování komuná</dc:title>
</cp:coreProperties>
</file>