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536E4" w14:paraId="048C0CB2" w14:textId="77777777">
      <w:pPr>
        <w:pStyle w:val="Nadpis30"/>
        <w:keepNext/>
        <w:keepLines/>
        <w:shd w:val="clear" w:color="auto" w:fill="auto"/>
        <w:spacing w:after="260"/>
        <w:ind w:left="0"/>
        <w:rPr>
          <w:b/>
          <w:color w:val="auto"/>
        </w:rPr>
      </w:pPr>
      <w:bookmarkStart w:id="0" w:name="bookmark10"/>
      <w:bookmarkStart w:id="1" w:name="bookmark11"/>
    </w:p>
    <w:p w:rsidR="003536E4" w:rsidRPr="00F37910" w:rsidP="00F37910" w14:paraId="3C23BABB" w14:textId="44637F2F">
      <w:pPr>
        <w:pStyle w:val="Nadpis30"/>
        <w:keepNext/>
        <w:keepLines/>
        <w:shd w:val="clear" w:color="auto" w:fill="auto"/>
        <w:spacing w:after="260"/>
        <w:ind w:left="0"/>
        <w:rPr>
          <w:b/>
          <w:color w:val="auto"/>
        </w:rPr>
      </w:pPr>
      <w:r w:rsidRPr="00FF594A">
        <w:rPr>
          <w:b/>
          <w:color w:val="auto"/>
        </w:rPr>
        <w:t>Nařízení města Klatov</w:t>
      </w:r>
      <w:r w:rsidR="00D77572">
        <w:rPr>
          <w:b/>
          <w:color w:val="auto"/>
        </w:rPr>
        <w:t xml:space="preserve">, kterým se mění nařízení </w:t>
      </w:r>
      <w:r w:rsidRPr="00FF594A" w:rsidR="00D77572">
        <w:rPr>
          <w:b/>
          <w:color w:val="auto"/>
        </w:rPr>
        <w:t>č. 1/2018, o plánu zimní údržby</w:t>
      </w:r>
      <w:r w:rsidRPr="00FF594A" w:rsidR="00D77572">
        <w:rPr>
          <w:b/>
          <w:color w:val="auto"/>
        </w:rPr>
        <w:br/>
        <w:t>pro Klatovy a integrované obce</w:t>
      </w:r>
      <w:r w:rsidR="00D77572">
        <w:rPr>
          <w:b/>
          <w:color w:val="auto"/>
        </w:rPr>
        <w:t>, ve znění nařízení č. 7/2021</w:t>
      </w:r>
      <w:r w:rsidR="008521CB">
        <w:rPr>
          <w:b/>
          <w:color w:val="auto"/>
        </w:rPr>
        <w:t xml:space="preserve"> a č. 5/2023</w:t>
      </w:r>
      <w:bookmarkEnd w:id="0"/>
      <w:bookmarkEnd w:id="1"/>
    </w:p>
    <w:p w:rsidR="001C0032" w:rsidRPr="0066132F" w:rsidP="00977F90" w14:paraId="1C048AE9" w14:textId="0855EE26">
      <w:pPr>
        <w:pStyle w:val="Zkladntext1"/>
        <w:shd w:val="clear" w:color="auto" w:fill="auto"/>
        <w:tabs>
          <w:tab w:val="right" w:leader="dot" w:pos="4702"/>
          <w:tab w:val="left" w:pos="4883"/>
        </w:tabs>
        <w:spacing w:after="0"/>
        <w:ind w:left="142"/>
        <w:jc w:val="both"/>
        <w:rPr>
          <w:color w:val="auto"/>
          <w:sz w:val="22"/>
        </w:rPr>
      </w:pPr>
      <w:r w:rsidRPr="0066132F">
        <w:rPr>
          <w:color w:val="auto"/>
          <w:sz w:val="22"/>
        </w:rPr>
        <w:t xml:space="preserve">Rada města Klatov se usnesla dne </w:t>
      </w:r>
      <w:r w:rsidR="00065EB0">
        <w:rPr>
          <w:color w:val="auto"/>
          <w:sz w:val="22"/>
        </w:rPr>
        <w:t>1</w:t>
      </w:r>
      <w:r w:rsidR="0075068C">
        <w:rPr>
          <w:color w:val="auto"/>
          <w:sz w:val="22"/>
        </w:rPr>
        <w:t>4</w:t>
      </w:r>
      <w:r w:rsidR="00065EB0">
        <w:rPr>
          <w:color w:val="auto"/>
          <w:sz w:val="22"/>
        </w:rPr>
        <w:t>.10.2025</w:t>
      </w:r>
      <w:r w:rsidRPr="0066132F" w:rsidR="00977F90">
        <w:rPr>
          <w:color w:val="auto"/>
          <w:sz w:val="22"/>
        </w:rPr>
        <w:t xml:space="preserve"> usnesením č. </w:t>
      </w:r>
      <w:r w:rsidR="00065EB0">
        <w:rPr>
          <w:color w:val="auto"/>
          <w:sz w:val="22"/>
        </w:rPr>
        <w:t>22</w:t>
      </w:r>
      <w:r w:rsidRPr="0066132F" w:rsidR="008521CB">
        <w:rPr>
          <w:color w:val="auto"/>
          <w:sz w:val="22"/>
        </w:rPr>
        <w:t xml:space="preserve"> </w:t>
      </w:r>
      <w:r w:rsidRPr="0066132F">
        <w:rPr>
          <w:color w:val="auto"/>
          <w:sz w:val="22"/>
        </w:rPr>
        <w:t>podle</w:t>
      </w:r>
      <w:r w:rsidRPr="0066132F" w:rsidR="00977F90">
        <w:rPr>
          <w:color w:val="auto"/>
          <w:sz w:val="22"/>
        </w:rPr>
        <w:t xml:space="preserve"> </w:t>
      </w:r>
      <w:r w:rsidRPr="0066132F">
        <w:rPr>
          <w:color w:val="auto"/>
          <w:sz w:val="22"/>
        </w:rPr>
        <w:t>usta</w:t>
      </w:r>
      <w:r w:rsidRPr="0066132F" w:rsidR="008521CB">
        <w:rPr>
          <w:color w:val="auto"/>
          <w:sz w:val="22"/>
        </w:rPr>
        <w:t>novení</w:t>
      </w:r>
      <w:r w:rsidRPr="0066132F">
        <w:rPr>
          <w:color w:val="auto"/>
          <w:sz w:val="22"/>
        </w:rPr>
        <w:t xml:space="preserve"> § 11 a 102 odst. 2 </w:t>
      </w:r>
      <w:r w:rsidRPr="0066132F" w:rsidR="00977F90">
        <w:rPr>
          <w:color w:val="auto"/>
          <w:sz w:val="22"/>
        </w:rPr>
        <w:t>p</w:t>
      </w:r>
      <w:r w:rsidRPr="0066132F">
        <w:rPr>
          <w:color w:val="auto"/>
          <w:sz w:val="22"/>
        </w:rPr>
        <w:t>ísm. d) zákona</w:t>
      </w:r>
      <w:r w:rsidRPr="0066132F" w:rsidR="00977F90">
        <w:rPr>
          <w:color w:val="auto"/>
          <w:sz w:val="22"/>
        </w:rPr>
        <w:t xml:space="preserve"> </w:t>
      </w:r>
      <w:r w:rsidRPr="0066132F">
        <w:rPr>
          <w:color w:val="auto"/>
          <w:sz w:val="22"/>
        </w:rPr>
        <w:t>č. 128/2000 Sb. o obcích, ve znění pozdějších předpisů, a v souladu s ustanovením § 27 odst. 5 a 7 zákona č.13/1997 Sb., o pozemních komunikacích, ve znění pozdějších předpisů, vydat toto nařízení.</w:t>
      </w:r>
    </w:p>
    <w:p w:rsidR="00FF594A" w:rsidRPr="0066132F" w:rsidP="00977F90" w14:paraId="7551C42A" w14:textId="77777777">
      <w:pPr>
        <w:pStyle w:val="Zkladntext1"/>
        <w:shd w:val="clear" w:color="auto" w:fill="auto"/>
        <w:tabs>
          <w:tab w:val="right" w:leader="dot" w:pos="4702"/>
          <w:tab w:val="left" w:pos="4883"/>
        </w:tabs>
        <w:spacing w:after="0"/>
        <w:ind w:left="142"/>
        <w:jc w:val="both"/>
        <w:rPr>
          <w:color w:val="auto"/>
          <w:sz w:val="22"/>
        </w:rPr>
      </w:pPr>
    </w:p>
    <w:p w:rsidR="001C0032" w:rsidRPr="0066132F" w14:paraId="5CDF6FF3" w14:textId="77777777">
      <w:pPr>
        <w:pStyle w:val="Zkladntext1"/>
        <w:shd w:val="clear" w:color="auto" w:fill="auto"/>
        <w:spacing w:after="0" w:line="257" w:lineRule="auto"/>
        <w:jc w:val="center"/>
        <w:rPr>
          <w:b/>
          <w:bCs/>
          <w:color w:val="auto"/>
          <w:sz w:val="22"/>
        </w:rPr>
      </w:pPr>
      <w:r w:rsidRPr="0066132F">
        <w:rPr>
          <w:b/>
          <w:bCs/>
          <w:color w:val="auto"/>
          <w:sz w:val="22"/>
        </w:rPr>
        <w:t>I.</w:t>
      </w:r>
    </w:p>
    <w:p w:rsidR="00FF594A" w:rsidRPr="0066132F" w14:paraId="02D69E50" w14:textId="77777777">
      <w:pPr>
        <w:pStyle w:val="Zkladntext1"/>
        <w:shd w:val="clear" w:color="auto" w:fill="auto"/>
        <w:spacing w:after="0" w:line="257" w:lineRule="auto"/>
        <w:jc w:val="center"/>
        <w:rPr>
          <w:color w:val="auto"/>
          <w:sz w:val="22"/>
        </w:rPr>
      </w:pPr>
    </w:p>
    <w:p w:rsidR="001C0032" w:rsidRPr="0066132F" w14:paraId="7E841F27" w14:textId="07FA6449">
      <w:pPr>
        <w:pStyle w:val="Zkladntext1"/>
        <w:shd w:val="clear" w:color="auto" w:fill="auto"/>
        <w:ind w:left="180"/>
        <w:rPr>
          <w:color w:val="auto"/>
          <w:sz w:val="22"/>
        </w:rPr>
      </w:pPr>
      <w:r w:rsidRPr="0066132F">
        <w:rPr>
          <w:color w:val="auto"/>
          <w:sz w:val="22"/>
        </w:rPr>
        <w:t xml:space="preserve">Nařízení města Klatov č. 1/2018, o plánu zimní údržby pro Klatovy a integrované obce, </w:t>
      </w:r>
      <w:r w:rsidRPr="0066132F" w:rsidR="00D77572">
        <w:rPr>
          <w:color w:val="auto"/>
          <w:sz w:val="22"/>
        </w:rPr>
        <w:t>ve znění nařízení č. 7/2021</w:t>
      </w:r>
      <w:r w:rsidRPr="0066132F" w:rsidR="008521CB">
        <w:rPr>
          <w:color w:val="auto"/>
          <w:sz w:val="22"/>
        </w:rPr>
        <w:t xml:space="preserve"> a 5/2023</w:t>
      </w:r>
      <w:r w:rsidRPr="0066132F" w:rsidR="00D77572">
        <w:rPr>
          <w:color w:val="auto"/>
          <w:sz w:val="22"/>
        </w:rPr>
        <w:t xml:space="preserve">, </w:t>
      </w:r>
      <w:r w:rsidRPr="0066132F">
        <w:rPr>
          <w:color w:val="auto"/>
          <w:sz w:val="22"/>
        </w:rPr>
        <w:t>se mění a doplňuje takto:</w:t>
      </w:r>
    </w:p>
    <w:p w:rsidR="00E60A33" w:rsidRPr="0066132F" w:rsidP="00D77572" w14:paraId="72E9542D" w14:textId="58973B94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 xml:space="preserve">1. </w:t>
      </w:r>
      <w:r w:rsidRPr="0066132F">
        <w:rPr>
          <w:color w:val="auto"/>
          <w:sz w:val="22"/>
        </w:rPr>
        <w:t>V Příloze č. 1 nařízení se v článku 6. Stanovení pořadí údržby místních komunikací do odstavce I. pořadí důležitosti – chodníky doplňuje „</w:t>
      </w:r>
      <w:r w:rsidRPr="0066132F" w:rsidR="004E085C">
        <w:rPr>
          <w:color w:val="auto"/>
          <w:sz w:val="22"/>
        </w:rPr>
        <w:t>stezka pro pěší a cyklisty Teminál</w:t>
      </w:r>
      <w:r w:rsidRPr="0066132F">
        <w:rPr>
          <w:color w:val="auto"/>
          <w:sz w:val="22"/>
        </w:rPr>
        <w:t>“</w:t>
      </w:r>
    </w:p>
    <w:p w:rsidR="00FD1616" w:rsidRPr="0066132F" w:rsidP="00D77572" w14:paraId="542CE023" w14:textId="5E592153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 xml:space="preserve">2. </w:t>
      </w:r>
      <w:r w:rsidRPr="0066132F">
        <w:rPr>
          <w:color w:val="auto"/>
          <w:sz w:val="22"/>
        </w:rPr>
        <w:t xml:space="preserve">V Příloze č. 1 nařízení se v článku 6. Stanovení pořadí údržby místních komunikací do odstavce II. </w:t>
      </w:r>
      <w:r w:rsidRPr="0066132F" w:rsidR="003536E4">
        <w:rPr>
          <w:color w:val="auto"/>
          <w:sz w:val="22"/>
        </w:rPr>
        <w:t xml:space="preserve">pořadí důležitosti – vozovka </w:t>
      </w:r>
      <w:r w:rsidRPr="0066132F">
        <w:rPr>
          <w:color w:val="auto"/>
          <w:sz w:val="22"/>
        </w:rPr>
        <w:t>Parkovací plochy doplňuje „Nádražní (Terminál)“</w:t>
      </w:r>
    </w:p>
    <w:p w:rsidR="003536E4" w:rsidRPr="0066132F" w:rsidP="003536E4" w14:paraId="5103117A" w14:textId="698862A2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>3. V Příloze č. 1 nařízení se v článku 6. Stanovení pořadí údržby místních komunikací do odstavce II. pořadí důležitosti – chodníky doplňuje „Maxima Gorkého (ul. Plzeňská – Procházkova)“</w:t>
      </w:r>
    </w:p>
    <w:p w:rsidR="001C0032" w:rsidRPr="0066132F" w:rsidP="00D77572" w14:paraId="2DAC0EF0" w14:textId="27FAA5A2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>4</w:t>
      </w:r>
      <w:r w:rsidRPr="0066132F" w:rsidR="00FD1616">
        <w:rPr>
          <w:color w:val="auto"/>
          <w:sz w:val="22"/>
        </w:rPr>
        <w:t xml:space="preserve">. </w:t>
      </w:r>
      <w:r w:rsidRPr="0066132F" w:rsidR="00D77572">
        <w:rPr>
          <w:color w:val="auto"/>
          <w:sz w:val="22"/>
        </w:rPr>
        <w:t xml:space="preserve">V Příloze č. 1 nařízení se v článku 6. </w:t>
      </w:r>
      <w:r w:rsidRPr="0066132F" w:rsidR="00A47179">
        <w:rPr>
          <w:color w:val="auto"/>
          <w:sz w:val="22"/>
        </w:rPr>
        <w:t>Stanovení pořadí údržby místních komunikací</w:t>
      </w:r>
      <w:r w:rsidRPr="0066132F" w:rsidR="00D77572">
        <w:rPr>
          <w:color w:val="auto"/>
          <w:sz w:val="22"/>
        </w:rPr>
        <w:t xml:space="preserve"> do odstavce III. pořadí důležitosti – vozovka doplňuje „</w:t>
      </w:r>
      <w:r w:rsidRPr="0066132F" w:rsidR="00FC4D6B">
        <w:rPr>
          <w:color w:val="auto"/>
          <w:sz w:val="22"/>
        </w:rPr>
        <w:t>Vočadlova, Dostálova, Dobešova, Gottliebova, Horákova, Halířova, Nedbalova“</w:t>
      </w:r>
    </w:p>
    <w:p w:rsidR="00FC4D6B" w:rsidRPr="0066132F" w:rsidP="00FC4D6B" w14:paraId="56CEAAD9" w14:textId="3900E348">
      <w:pPr>
        <w:pStyle w:val="Zkladntext1"/>
        <w:shd w:val="clear" w:color="auto" w:fill="auto"/>
        <w:ind w:left="142"/>
        <w:rPr>
          <w:color w:val="auto"/>
          <w:sz w:val="22"/>
        </w:rPr>
      </w:pPr>
      <w:r w:rsidRPr="0066132F">
        <w:rPr>
          <w:color w:val="auto"/>
          <w:sz w:val="22"/>
        </w:rPr>
        <w:t>5</w:t>
      </w:r>
      <w:r w:rsidRPr="0066132F">
        <w:rPr>
          <w:color w:val="auto"/>
          <w:sz w:val="22"/>
        </w:rPr>
        <w:t>. V Příloze č. 1 nařízení se v článku 6. Stanovení pořadí údržby místních komunikací do odstavce III. pořadí důležitosti – chod</w:t>
      </w:r>
      <w:r w:rsidRPr="0066132F" w:rsidR="00E60A33">
        <w:rPr>
          <w:color w:val="auto"/>
          <w:sz w:val="22"/>
        </w:rPr>
        <w:t>n</w:t>
      </w:r>
      <w:r w:rsidRPr="0066132F">
        <w:rPr>
          <w:color w:val="auto"/>
          <w:sz w:val="22"/>
        </w:rPr>
        <w:t>íky doplňuje „Vočadlova, Dobešova, mezi ul. Horákova a Halířova, Maxima Gorkého</w:t>
      </w:r>
      <w:r w:rsidRPr="0066132F">
        <w:rPr>
          <w:color w:val="auto"/>
          <w:sz w:val="22"/>
        </w:rPr>
        <w:t xml:space="preserve"> (od ul. Procházkova</w:t>
      </w:r>
      <w:r w:rsidRPr="00F37910">
        <w:rPr>
          <w:color w:val="auto"/>
          <w:sz w:val="22"/>
        </w:rPr>
        <w:t>)</w:t>
      </w:r>
      <w:r w:rsidRPr="00F37910" w:rsidR="00F37910">
        <w:rPr>
          <w:color w:val="auto"/>
          <w:sz w:val="22"/>
        </w:rPr>
        <w:t xml:space="preserve">, </w:t>
      </w:r>
      <w:r w:rsidR="00F37910">
        <w:rPr>
          <w:bCs/>
        </w:rPr>
        <w:t xml:space="preserve"> stezka pro pěší a cyklisty Plánická– Čínov, stezka pro pěší a cyklisty Puškinova</w:t>
      </w:r>
      <w:r w:rsidRPr="0066132F">
        <w:rPr>
          <w:color w:val="auto"/>
          <w:sz w:val="22"/>
        </w:rPr>
        <w:t>“</w:t>
      </w:r>
    </w:p>
    <w:p w:rsidR="00FF594A" w:rsidRPr="0066132F" w:rsidP="005F777D" w14:paraId="4AA26773" w14:textId="0A6EBBD4">
      <w:pPr>
        <w:pStyle w:val="Zkladntext1"/>
        <w:shd w:val="clear" w:color="auto" w:fill="auto"/>
        <w:ind w:left="142"/>
        <w:jc w:val="both"/>
        <w:rPr>
          <w:color w:val="auto"/>
          <w:sz w:val="22"/>
        </w:rPr>
      </w:pPr>
      <w:r w:rsidRPr="0066132F">
        <w:rPr>
          <w:color w:val="auto"/>
          <w:sz w:val="22"/>
        </w:rPr>
        <w:t>6</w:t>
      </w:r>
      <w:r w:rsidRPr="0066132F" w:rsidR="00FD1616">
        <w:rPr>
          <w:color w:val="auto"/>
          <w:sz w:val="22"/>
        </w:rPr>
        <w:t xml:space="preserve">. </w:t>
      </w:r>
      <w:r w:rsidRPr="0066132F" w:rsidR="00B42E37">
        <w:rPr>
          <w:color w:val="auto"/>
          <w:sz w:val="22"/>
        </w:rPr>
        <w:t>V Příloze č. 1 nařízení se do článku 7. Úseky místních komunikací a chodníků, na kterých se pro jejich malý dopravní význam nezajišťuje sjízdnost nebo schůdnost odstraňováním sněhu nebo náledí doplňuje „</w:t>
      </w:r>
      <w:r w:rsidRPr="0066132F" w:rsidR="00E60A33">
        <w:rPr>
          <w:color w:val="auto"/>
          <w:sz w:val="22"/>
        </w:rPr>
        <w:t>- cyklostezka Luby – Sobětice, stezka pro pěší a cyklisty</w:t>
      </w:r>
      <w:r w:rsidRPr="0066132F" w:rsidR="00B42E37">
        <w:rPr>
          <w:color w:val="auto"/>
          <w:sz w:val="22"/>
        </w:rPr>
        <w:t xml:space="preserve"> </w:t>
      </w:r>
      <w:r w:rsidRPr="0066132F" w:rsidR="00E60A33">
        <w:rPr>
          <w:color w:val="auto"/>
          <w:sz w:val="22"/>
        </w:rPr>
        <w:t>Klatovy – Sobětice, polní cesta Harfa – Klášterka, polní cesta Elektrárna - Luby přes Bubnování, polní cesta Rozcestí Čínov – Lávka (přes obchvat).</w:t>
      </w:r>
    </w:p>
    <w:p w:rsidR="001C0032" w:rsidRPr="0066132F" w14:paraId="536787BC" w14:textId="77777777">
      <w:pPr>
        <w:pStyle w:val="Nadpis40"/>
        <w:keepNext/>
        <w:keepLines/>
        <w:shd w:val="clear" w:color="auto" w:fill="auto"/>
        <w:spacing w:after="0"/>
        <w:ind w:firstLine="0"/>
        <w:jc w:val="center"/>
        <w:rPr>
          <w:color w:val="auto"/>
          <w:sz w:val="22"/>
        </w:rPr>
      </w:pPr>
      <w:bookmarkStart w:id="2" w:name="bookmark14"/>
      <w:bookmarkStart w:id="3" w:name="bookmark15"/>
      <w:r w:rsidRPr="0066132F">
        <w:rPr>
          <w:color w:val="auto"/>
          <w:sz w:val="22"/>
        </w:rPr>
        <w:t>II.</w:t>
      </w:r>
      <w:bookmarkEnd w:id="2"/>
      <w:bookmarkEnd w:id="3"/>
    </w:p>
    <w:p w:rsidR="00FF594A" w:rsidRPr="0066132F" w14:paraId="45CF12C9" w14:textId="77777777">
      <w:pPr>
        <w:pStyle w:val="Nadpis40"/>
        <w:keepNext/>
        <w:keepLines/>
        <w:shd w:val="clear" w:color="auto" w:fill="auto"/>
        <w:spacing w:after="0"/>
        <w:ind w:firstLine="0"/>
        <w:jc w:val="center"/>
        <w:rPr>
          <w:color w:val="auto"/>
          <w:sz w:val="22"/>
        </w:rPr>
      </w:pPr>
    </w:p>
    <w:p w:rsidR="001C0032" w:rsidRPr="0066132F" w14:paraId="34107A8B" w14:textId="094D5F4C">
      <w:pPr>
        <w:pStyle w:val="Zkladntext1"/>
        <w:numPr>
          <w:ilvl w:val="0"/>
          <w:numId w:val="8"/>
        </w:numPr>
        <w:shd w:val="clear" w:color="auto" w:fill="auto"/>
        <w:tabs>
          <w:tab w:val="left" w:pos="649"/>
        </w:tabs>
        <w:spacing w:after="0"/>
        <w:ind w:firstLine="180"/>
        <w:rPr>
          <w:color w:val="auto"/>
          <w:sz w:val="22"/>
        </w:rPr>
      </w:pPr>
      <w:r w:rsidRPr="0066132F">
        <w:rPr>
          <w:color w:val="auto"/>
          <w:sz w:val="22"/>
        </w:rPr>
        <w:t>Ostatn</w:t>
      </w:r>
      <w:r w:rsidRPr="0066132F" w:rsidR="00CF6C22">
        <w:rPr>
          <w:color w:val="auto"/>
          <w:sz w:val="22"/>
        </w:rPr>
        <w:t>í ustanovení nařízení č. 1/2018, ve znění nařízení č. 7/2021</w:t>
      </w:r>
      <w:r w:rsidRPr="0066132F" w:rsidR="0048285E">
        <w:rPr>
          <w:color w:val="auto"/>
          <w:sz w:val="22"/>
        </w:rPr>
        <w:t xml:space="preserve"> a č. 5/2023</w:t>
      </w:r>
      <w:r w:rsidRPr="0066132F" w:rsidR="00CF6C22">
        <w:rPr>
          <w:color w:val="auto"/>
          <w:sz w:val="22"/>
        </w:rPr>
        <w:t xml:space="preserve">, </w:t>
      </w:r>
      <w:r w:rsidRPr="0066132F">
        <w:rPr>
          <w:color w:val="auto"/>
          <w:sz w:val="22"/>
        </w:rPr>
        <w:t>zůstávají beze změn.</w:t>
      </w:r>
    </w:p>
    <w:p w:rsidR="001C0032" w:rsidRPr="0066132F" w14:paraId="7739F1F2" w14:textId="77777777">
      <w:pPr>
        <w:pStyle w:val="Zkladntext1"/>
        <w:numPr>
          <w:ilvl w:val="0"/>
          <w:numId w:val="8"/>
        </w:numPr>
        <w:shd w:val="clear" w:color="auto" w:fill="auto"/>
        <w:tabs>
          <w:tab w:val="left" w:pos="649"/>
        </w:tabs>
        <w:spacing w:after="280"/>
        <w:ind w:firstLine="180"/>
        <w:rPr>
          <w:color w:val="auto"/>
          <w:sz w:val="22"/>
        </w:rPr>
      </w:pPr>
      <w:r w:rsidRPr="0066132F">
        <w:rPr>
          <w:color w:val="auto"/>
          <w:sz w:val="22"/>
        </w:rPr>
        <w:t xml:space="preserve">Toto nařízení nabývá účinnosti </w:t>
      </w:r>
      <w:r w:rsidRPr="0066132F" w:rsidR="00CF6C22">
        <w:rPr>
          <w:color w:val="auto"/>
          <w:sz w:val="22"/>
        </w:rPr>
        <w:t>počátkem patnáctého dne po dni</w:t>
      </w:r>
      <w:r w:rsidRPr="0066132F" w:rsidR="00824B7C">
        <w:rPr>
          <w:color w:val="auto"/>
          <w:sz w:val="22"/>
        </w:rPr>
        <w:t xml:space="preserve"> vyhlášení</w:t>
      </w:r>
      <w:r w:rsidRPr="0066132F">
        <w:rPr>
          <w:color w:val="auto"/>
          <w:sz w:val="22"/>
        </w:rPr>
        <w:t>.</w:t>
      </w:r>
    </w:p>
    <w:p w:rsidR="00CD6131" w:rsidRPr="0066132F" w:rsidP="003536E4" w14:paraId="7DF8E389" w14:textId="77777777">
      <w:pPr>
        <w:pStyle w:val="BodyText"/>
        <w:rPr>
          <w:rFonts w:asciiTheme="minorHAnsi" w:hAnsiTheme="minorHAnsi" w:cstheme="minorHAnsi"/>
          <w:sz w:val="22"/>
        </w:rPr>
      </w:pPr>
    </w:p>
    <w:p w:rsidR="00CD6131" w:rsidRPr="0066132F" w:rsidP="00CD6131" w14:paraId="503E0617" w14:textId="77777777">
      <w:pPr>
        <w:pStyle w:val="BodyText"/>
        <w:ind w:firstLine="709"/>
        <w:rPr>
          <w:rFonts w:asciiTheme="minorHAnsi" w:hAnsiTheme="minorHAnsi" w:cstheme="minorHAnsi"/>
          <w:sz w:val="22"/>
        </w:rPr>
      </w:pPr>
    </w:p>
    <w:p w:rsidR="00CD6131" w:rsidRPr="0066132F" w:rsidP="00CD6131" w14:paraId="767C7BFD" w14:textId="77777777">
      <w:pPr>
        <w:pStyle w:val="BodyText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>.....................................</w:t>
      </w:r>
    </w:p>
    <w:p w:rsidR="00CD6131" w:rsidRPr="0066132F" w:rsidP="00CD6131" w14:paraId="20AD9EBC" w14:textId="077F3F55">
      <w:pPr>
        <w:pStyle w:val="BodyText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v.r. </w:t>
      </w:r>
      <w:r w:rsidRPr="0066132F">
        <w:rPr>
          <w:rFonts w:asciiTheme="minorHAnsi" w:hAnsiTheme="minorHAnsi" w:cstheme="minorHAnsi"/>
          <w:sz w:val="22"/>
        </w:rPr>
        <w:t>Mgr. Rudolf Salvetr</w:t>
      </w:r>
    </w:p>
    <w:p w:rsidR="00CD6131" w:rsidRPr="0066132F" w:rsidP="00CD6131" w14:paraId="3FAF55A8" w14:textId="77777777">
      <w:pPr>
        <w:pStyle w:val="BodyText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>starosta města</w:t>
      </w:r>
    </w:p>
    <w:p w:rsidR="00CD6131" w:rsidRPr="0066132F" w:rsidP="00CD6131" w14:paraId="4475F32F" w14:textId="77777777">
      <w:pPr>
        <w:pStyle w:val="BodyText"/>
        <w:ind w:firstLine="709"/>
        <w:rPr>
          <w:rFonts w:asciiTheme="minorHAnsi" w:hAnsiTheme="minorHAnsi" w:cstheme="minorHAnsi"/>
          <w:sz w:val="22"/>
        </w:rPr>
      </w:pPr>
    </w:p>
    <w:p w:rsidR="00CD6131" w:rsidRPr="0066132F" w:rsidP="00CD6131" w14:paraId="7BFF3427" w14:textId="77777777">
      <w:pPr>
        <w:pStyle w:val="BodyText"/>
        <w:ind w:firstLine="709"/>
        <w:rPr>
          <w:rFonts w:asciiTheme="minorHAnsi" w:hAnsiTheme="minorHAnsi" w:cstheme="minorHAnsi"/>
          <w:sz w:val="22"/>
        </w:rPr>
      </w:pPr>
    </w:p>
    <w:p w:rsidR="00CD6131" w:rsidRPr="0066132F" w:rsidP="00CD6131" w14:paraId="0880B375" w14:textId="77777777">
      <w:pPr>
        <w:pStyle w:val="BodyText"/>
        <w:rPr>
          <w:rFonts w:asciiTheme="minorHAnsi" w:hAnsiTheme="minorHAnsi" w:cstheme="minorHAnsi"/>
          <w:sz w:val="22"/>
        </w:rPr>
      </w:pPr>
    </w:p>
    <w:p w:rsidR="00CD6131" w:rsidRPr="0066132F" w:rsidP="00CD6131" w14:paraId="4C714993" w14:textId="77777777">
      <w:pPr>
        <w:pStyle w:val="BodyText"/>
        <w:jc w:val="center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 xml:space="preserve">................................        </w:t>
      </w:r>
      <w:r w:rsidRPr="0066132F">
        <w:rPr>
          <w:rFonts w:asciiTheme="minorHAnsi" w:hAnsiTheme="minorHAnsi" w:cstheme="minorHAnsi"/>
          <w:sz w:val="22"/>
        </w:rPr>
        <w:tab/>
        <w:t xml:space="preserve">    ..………………………..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>.....................................</w:t>
      </w:r>
    </w:p>
    <w:p w:rsidR="00CD6131" w:rsidRPr="0066132F" w:rsidP="00CD6131" w14:paraId="31205D7A" w14:textId="2DB5F0D6">
      <w:pPr>
        <w:pStyle w:val="BodyText"/>
        <w:rPr>
          <w:rFonts w:asciiTheme="minorHAnsi" w:hAnsiTheme="minorHAnsi" w:cstheme="minorHAnsi"/>
          <w:sz w:val="22"/>
        </w:rPr>
      </w:pPr>
      <w:r w:rsidRPr="0066132F">
        <w:rPr>
          <w:rFonts w:asciiTheme="minorHAnsi" w:hAnsiTheme="minorHAnsi" w:cstheme="minorHAnsi"/>
          <w:sz w:val="22"/>
        </w:rPr>
        <w:t xml:space="preserve">   </w:t>
      </w:r>
      <w:r w:rsidRPr="0066132F">
        <w:rPr>
          <w:rFonts w:asciiTheme="minorHAnsi" w:hAnsiTheme="minorHAnsi" w:cstheme="minorHAnsi"/>
          <w:sz w:val="22"/>
        </w:rPr>
        <w:tab/>
      </w:r>
      <w:r w:rsidR="00516432">
        <w:rPr>
          <w:rFonts w:asciiTheme="minorHAnsi" w:hAnsiTheme="minorHAnsi" w:cstheme="minorHAnsi"/>
          <w:sz w:val="22"/>
        </w:rPr>
        <w:t>v.r.</w:t>
      </w:r>
      <w:r w:rsidRPr="0066132F">
        <w:rPr>
          <w:rFonts w:asciiTheme="minorHAnsi" w:hAnsiTheme="minorHAnsi" w:cstheme="minorHAnsi"/>
          <w:sz w:val="22"/>
        </w:rPr>
        <w:t xml:space="preserve">    Ing. Václav Chroust</w:t>
      </w:r>
      <w:r w:rsidRPr="0066132F">
        <w:rPr>
          <w:rFonts w:asciiTheme="minorHAnsi" w:hAnsiTheme="minorHAnsi" w:cstheme="minorHAnsi"/>
          <w:sz w:val="22"/>
        </w:rPr>
        <w:tab/>
        <w:t xml:space="preserve">        </w:t>
      </w:r>
      <w:r w:rsidR="00516432">
        <w:rPr>
          <w:rFonts w:asciiTheme="minorHAnsi" w:hAnsiTheme="minorHAnsi" w:cstheme="minorHAnsi"/>
          <w:sz w:val="22"/>
        </w:rPr>
        <w:t xml:space="preserve">v.r. </w:t>
      </w:r>
      <w:r w:rsidRPr="0066132F">
        <w:rPr>
          <w:rFonts w:asciiTheme="minorHAnsi" w:hAnsiTheme="minorHAnsi" w:cstheme="minorHAnsi"/>
          <w:sz w:val="22"/>
        </w:rPr>
        <w:t>Ing. Martin Kříž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</w:t>
      </w:r>
      <w:r w:rsidR="00516432">
        <w:rPr>
          <w:rFonts w:asciiTheme="minorHAnsi" w:hAnsiTheme="minorHAnsi" w:cstheme="minorHAnsi"/>
          <w:sz w:val="22"/>
        </w:rPr>
        <w:t>v.r.</w:t>
      </w:r>
      <w:r w:rsidRPr="0066132F">
        <w:rPr>
          <w:rFonts w:asciiTheme="minorHAnsi" w:hAnsiTheme="minorHAnsi" w:cstheme="minorHAnsi"/>
          <w:sz w:val="22"/>
        </w:rPr>
        <w:t xml:space="preserve"> Bc. Pavel Strolený</w:t>
      </w:r>
    </w:p>
    <w:p w:rsidR="00CD6131" w:rsidRPr="003536E4" w:rsidP="00CD6131" w14:paraId="41AED954" w14:textId="77777777">
      <w:pPr>
        <w:pStyle w:val="BodyText"/>
        <w:rPr>
          <w:rFonts w:asciiTheme="minorHAnsi" w:hAnsiTheme="minorHAnsi" w:cstheme="minorHAnsi"/>
        </w:rPr>
      </w:pPr>
      <w:r w:rsidRPr="0066132F">
        <w:rPr>
          <w:rFonts w:asciiTheme="minorHAnsi" w:hAnsiTheme="minorHAnsi" w:cstheme="minorHAnsi"/>
          <w:sz w:val="22"/>
        </w:rPr>
        <w:t xml:space="preserve">        </w:t>
      </w:r>
      <w:r w:rsidRPr="0066132F">
        <w:rPr>
          <w:rFonts w:asciiTheme="minorHAnsi" w:hAnsiTheme="minorHAnsi" w:cstheme="minorHAnsi"/>
          <w:sz w:val="22"/>
        </w:rPr>
        <w:tab/>
        <w:t xml:space="preserve">         místostarosta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      místostarosta</w:t>
      </w:r>
      <w:r w:rsidRPr="0066132F">
        <w:rPr>
          <w:rFonts w:asciiTheme="minorHAnsi" w:hAnsiTheme="minorHAnsi" w:cstheme="minorHAnsi"/>
          <w:sz w:val="22"/>
        </w:rPr>
        <w:tab/>
      </w:r>
      <w:r w:rsidRPr="0066132F">
        <w:rPr>
          <w:rFonts w:asciiTheme="minorHAnsi" w:hAnsiTheme="minorHAnsi" w:cstheme="minorHAnsi"/>
          <w:sz w:val="22"/>
        </w:rPr>
        <w:tab/>
        <w:t xml:space="preserve">           místostarosta</w:t>
      </w:r>
    </w:p>
    <w:sectPr>
      <w:footerReference w:type="default" r:id="rId4"/>
      <w:footerReference w:type="first" r:id="rId5"/>
      <w:type w:val="continuous"/>
      <w:pgSz w:w="11900" w:h="16840"/>
      <w:pgMar w:top="867" w:right="970" w:bottom="1363" w:left="11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032" w14:paraId="055E1A66" w14:textId="7777777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032" w14:paraId="2F022906" w14:textId="777777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3876675</wp:posOffset>
              </wp:positionH>
              <wp:positionV relativeFrom="page">
                <wp:posOffset>9952355</wp:posOffset>
              </wp:positionV>
              <wp:extent cx="6731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7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0032" w14:textId="7777777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2049" type="#_x0000_t202" style="width:5.3pt;height:9.35pt;margin-top:783.65pt;margin-left:305.2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C0032" w14:paraId="5CD729A3" w14:textId="77777777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C74B3"/>
    <w:multiLevelType w:val="multilevel"/>
    <w:tmpl w:val="AE94D2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B33220"/>
    <w:multiLevelType w:val="multilevel"/>
    <w:tmpl w:val="603EBE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E0A61F5"/>
    <w:multiLevelType w:val="multilevel"/>
    <w:tmpl w:val="89ACEEF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E5233E0"/>
    <w:multiLevelType w:val="multilevel"/>
    <w:tmpl w:val="BB5EBC5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8437D9"/>
    <w:multiLevelType w:val="multilevel"/>
    <w:tmpl w:val="A3C8B69C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265F98"/>
    <w:multiLevelType w:val="multilevel"/>
    <w:tmpl w:val="3D30CA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FF02B69"/>
    <w:multiLevelType w:val="multilevel"/>
    <w:tmpl w:val="1EEA62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251E37"/>
    <w:multiLevelType w:val="multilevel"/>
    <w:tmpl w:val="BD40CD0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32"/>
    <w:rsid w:val="00061F9F"/>
    <w:rsid w:val="00065EB0"/>
    <w:rsid w:val="000958A0"/>
    <w:rsid w:val="001C0032"/>
    <w:rsid w:val="001E5057"/>
    <w:rsid w:val="002903AD"/>
    <w:rsid w:val="00315F19"/>
    <w:rsid w:val="00330EA3"/>
    <w:rsid w:val="003536E4"/>
    <w:rsid w:val="0048285E"/>
    <w:rsid w:val="0049667E"/>
    <w:rsid w:val="004E085C"/>
    <w:rsid w:val="004F29A2"/>
    <w:rsid w:val="00512D2E"/>
    <w:rsid w:val="00516432"/>
    <w:rsid w:val="005F777D"/>
    <w:rsid w:val="0066132F"/>
    <w:rsid w:val="0075068C"/>
    <w:rsid w:val="008156F1"/>
    <w:rsid w:val="00824B7C"/>
    <w:rsid w:val="008318CA"/>
    <w:rsid w:val="008408F3"/>
    <w:rsid w:val="008521CB"/>
    <w:rsid w:val="008B1173"/>
    <w:rsid w:val="00977F90"/>
    <w:rsid w:val="00985F96"/>
    <w:rsid w:val="009F0CC4"/>
    <w:rsid w:val="00A47179"/>
    <w:rsid w:val="00A85DCA"/>
    <w:rsid w:val="00AD75BA"/>
    <w:rsid w:val="00B271CF"/>
    <w:rsid w:val="00B42E37"/>
    <w:rsid w:val="00CD6131"/>
    <w:rsid w:val="00CF6C22"/>
    <w:rsid w:val="00D77572"/>
    <w:rsid w:val="00DC446F"/>
    <w:rsid w:val="00E60A33"/>
    <w:rsid w:val="00E74FB6"/>
    <w:rsid w:val="00F37910"/>
    <w:rsid w:val="00FB3685"/>
    <w:rsid w:val="00FC4D6B"/>
    <w:rsid w:val="00FD1616"/>
    <w:rsid w:val="00FF594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BC95D5-A8CA-4E1D-90B4-DCA2876B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4CA787"/>
      <w:sz w:val="30"/>
      <w:szCs w:val="3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3C97D1"/>
      <w:sz w:val="28"/>
      <w:szCs w:val="28"/>
      <w:u w:val="none"/>
    </w:rPr>
  </w:style>
  <w:style w:type="character" w:customStyle="1" w:styleId="Zkladntext">
    <w:name w:val="Základní text_"/>
    <w:basedOn w:val="DefaultParagraphFont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DefaultParagraphFont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DefaultParagraphFont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DefaultParagraphFont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after="240"/>
      <w:outlineLvl w:val="0"/>
    </w:pPr>
    <w:rPr>
      <w:rFonts w:ascii="Arial" w:eastAsia="Arial" w:hAnsi="Arial" w:cs="Arial"/>
      <w:b/>
      <w:bCs/>
      <w:color w:val="4CA787"/>
      <w:sz w:val="30"/>
      <w:szCs w:val="30"/>
    </w:rPr>
  </w:style>
  <w:style w:type="paragraph" w:customStyle="1" w:styleId="Zhlavnebozpat20">
    <w:name w:val="Záhlaví nebo zápatí (2)"/>
    <w:basedOn w:val="Normal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color w:val="3C97D1"/>
      <w:sz w:val="28"/>
      <w:szCs w:val="28"/>
    </w:rPr>
  </w:style>
  <w:style w:type="paragraph" w:customStyle="1" w:styleId="Zkladntext1">
    <w:name w:val="Základní text1"/>
    <w:basedOn w:val="Normal"/>
    <w:link w:val="Zkladntext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al"/>
    <w:link w:val="Titulekobrzku"/>
    <w:pPr>
      <w:shd w:val="clear" w:color="auto" w:fill="FFFFFF"/>
      <w:spacing w:after="26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al"/>
    <w:link w:val="Nadpis3"/>
    <w:pPr>
      <w:shd w:val="clear" w:color="auto" w:fill="FFFFFF"/>
      <w:spacing w:after="320"/>
      <w:ind w:left="1140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Nadpis40">
    <w:name w:val="Nadpis #4"/>
    <w:basedOn w:val="Normal"/>
    <w:link w:val="Nadpis4"/>
    <w:pPr>
      <w:shd w:val="clear" w:color="auto" w:fill="FFFFFF"/>
      <w:spacing w:after="130"/>
      <w:ind w:firstLine="80"/>
      <w:outlineLvl w:val="3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al"/>
    <w:link w:val="Zkladntext2"/>
    <w:pPr>
      <w:shd w:val="clear" w:color="auto" w:fill="FFFFFF"/>
      <w:spacing w:after="120"/>
    </w:pPr>
    <w:rPr>
      <w:rFonts w:ascii="Calibri" w:eastAsia="Calibri" w:hAnsi="Calibri" w:cs="Calibri"/>
      <w:i/>
      <w:iCs/>
      <w:sz w:val="20"/>
      <w:szCs w:val="20"/>
    </w:rPr>
  </w:style>
  <w:style w:type="paragraph" w:styleId="BodyText">
    <w:name w:val="Body Text"/>
    <w:basedOn w:val="Normal"/>
    <w:link w:val="ZkladntextChar"/>
    <w:rsid w:val="00CD6131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DefaultParagraphFont"/>
    <w:link w:val="BodyText"/>
    <w:rsid w:val="00CD6131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 Jiří</dc:creator>
  <cp:lastModifiedBy>Kalvodová Kateřina</cp:lastModifiedBy>
  <cp:revision>4</cp:revision>
  <cp:lastPrinted>2025-10-15T08:16:00Z</cp:lastPrinted>
  <dcterms:created xsi:type="dcterms:W3CDTF">2025-10-15T08:17:00Z</dcterms:created>
  <dcterms:modified xsi:type="dcterms:W3CDTF">2025-10-15T08:25:00Z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PRAV/107/25/Prv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15.10.2025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&lt;TABLE&gt;&lt;TR&gt;&lt;TD&gt;Č.j.:&lt;/TD&gt;&lt;TD&gt;PRAV/107/25/Prv&lt;/TD&gt;&lt;/TR&gt;&lt;TR&gt;&lt;TD&gt;&lt;/TD&gt;&lt;TD&gt;&lt;/TD&gt;&lt;/TR&gt;&lt;/TABLE&gt;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Götz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63418/25-MUKT</vt:lpwstr>
  </property>
  <property fmtid="{D5CDD505-2E9C-101B-9397-08002B2CF9AE}" pid="19" name="Key_BarCode_Pisemnost">
    <vt:lpwstr>*B003228570*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63418/25-MUKT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Nařízení Zimní údržba novelizace 2025</vt:lpwstr>
  </property>
  <property fmtid="{D5CDD505-2E9C-101B-9397-08002B2CF9AE}" pid="41" name="Zkratka_SpisovyUzel_PoziceZodpo_Pisemnost">
    <vt:lpwstr>PRAV</vt:lpwstr>
  </property>
</Properties>
</file>