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222B" w14:textId="77777777" w:rsidR="00481AA0" w:rsidRPr="00481AA0" w:rsidRDefault="007F4B44" w:rsidP="000E5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Městys Přídolí</w:t>
      </w:r>
    </w:p>
    <w:p w14:paraId="0E1A80C0" w14:textId="77777777" w:rsidR="00481AA0" w:rsidRPr="00481AA0" w:rsidRDefault="007F4B44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Zastupitelstvo městyse Přídolí</w:t>
      </w:r>
    </w:p>
    <w:p w14:paraId="29C9F0E9" w14:textId="77777777" w:rsidR="00481AA0" w:rsidRPr="00481AA0" w:rsidRDefault="00425C32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</w:t>
      </w:r>
      <w:r w:rsidR="007F4B44">
        <w:rPr>
          <w:rFonts w:ascii="Arial" w:eastAsia="Times New Roman" w:hAnsi="Arial" w:cs="Arial"/>
          <w:b/>
          <w:color w:val="auto"/>
          <w:bdr w:val="none" w:sz="0" w:space="0" w:color="auto"/>
        </w:rPr>
        <w:t>cně závazná vyhláška městyse Přídolí,</w:t>
      </w:r>
    </w:p>
    <w:p w14:paraId="432BE619" w14:textId="77777777" w:rsidR="004C258C" w:rsidRDefault="004C258C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627238E" w14:textId="77777777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>kterou se stanovují pravidla pro pohyb psů n</w:t>
      </w:r>
      <w:r w:rsidR="00425C32">
        <w:rPr>
          <w:rFonts w:ascii="Arial" w:hAnsi="Arial"/>
          <w:b/>
          <w:bCs/>
        </w:rPr>
        <w:t>a veře</w:t>
      </w:r>
      <w:r w:rsidR="007F4B44">
        <w:rPr>
          <w:rFonts w:ascii="Arial" w:hAnsi="Arial"/>
          <w:b/>
          <w:bCs/>
        </w:rPr>
        <w:t xml:space="preserve">jném prostranství </w:t>
      </w:r>
      <w:r w:rsidR="007F4B44">
        <w:rPr>
          <w:rFonts w:ascii="Arial" w:hAnsi="Arial"/>
          <w:b/>
          <w:bCs/>
        </w:rPr>
        <w:br/>
        <w:t>v městysu Přídolí</w:t>
      </w:r>
    </w:p>
    <w:p w14:paraId="268BA33A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601BB17" w14:textId="147A9D6F" w:rsidR="004D5CAF" w:rsidRDefault="007F4B44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městyse Přídolí</w:t>
      </w:r>
      <w:r w:rsidR="00425C3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4147C9">
        <w:rPr>
          <w:rFonts w:ascii="Arial" w:hAnsi="Arial"/>
          <w:sz w:val="22"/>
          <w:szCs w:val="22"/>
        </w:rPr>
        <w:t>se na svém zasedání</w:t>
      </w:r>
      <w:r w:rsidR="004147C9">
        <w:rPr>
          <w:rFonts w:ascii="Arial" w:hAnsi="Arial"/>
          <w:b/>
          <w:bCs/>
          <w:sz w:val="22"/>
          <w:szCs w:val="22"/>
        </w:rPr>
        <w:t xml:space="preserve"> </w:t>
      </w:r>
      <w:r w:rsidR="004147C9">
        <w:rPr>
          <w:rFonts w:ascii="Arial" w:hAnsi="Arial"/>
          <w:sz w:val="22"/>
          <w:szCs w:val="22"/>
        </w:rPr>
        <w:t>dne</w:t>
      </w:r>
      <w:r w:rsidR="00F16008">
        <w:rPr>
          <w:rFonts w:ascii="Arial" w:hAnsi="Arial"/>
          <w:sz w:val="22"/>
          <w:szCs w:val="22"/>
        </w:rPr>
        <w:t xml:space="preserve"> 22.06.2023</w:t>
      </w:r>
      <w:r w:rsidR="004147C9">
        <w:rPr>
          <w:rFonts w:ascii="Arial" w:hAnsi="Arial"/>
          <w:sz w:val="22"/>
          <w:szCs w:val="22"/>
        </w:rPr>
        <w:t xml:space="preserve"> usnesením č.</w:t>
      </w:r>
      <w:r w:rsidR="00F16008">
        <w:rPr>
          <w:rFonts w:ascii="Arial" w:hAnsi="Arial"/>
          <w:sz w:val="22"/>
          <w:szCs w:val="22"/>
        </w:rPr>
        <w:t xml:space="preserve"> 2023-07-14</w:t>
      </w:r>
      <w:r w:rsidR="004147C9"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</w:t>
      </w:r>
      <w:r>
        <w:rPr>
          <w:rFonts w:ascii="Arial" w:hAnsi="Arial"/>
          <w:sz w:val="22"/>
          <w:szCs w:val="22"/>
        </w:rPr>
        <w:t xml:space="preserve"> a),</w:t>
      </w:r>
      <w:r w:rsidR="004147C9">
        <w:rPr>
          <w:rFonts w:ascii="Arial" w:hAnsi="Arial"/>
          <w:sz w:val="22"/>
          <w:szCs w:val="22"/>
        </w:rPr>
        <w:t xml:space="preserve"> d), §</w:t>
      </w:r>
      <w:r w:rsidR="00AE6D74">
        <w:rPr>
          <w:rFonts w:ascii="Arial" w:hAnsi="Arial"/>
          <w:sz w:val="22"/>
          <w:szCs w:val="22"/>
        </w:rPr>
        <w:t> </w:t>
      </w:r>
      <w:r w:rsidR="004147C9"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1B734516" w14:textId="77777777" w:rsidR="0003654D" w:rsidRDefault="0003654D">
      <w:pPr>
        <w:widowControl w:val="0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302E2DC4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769E8AB2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B3BCE58" w14:textId="77777777" w:rsidR="00425C32" w:rsidRDefault="004147C9" w:rsidP="00425C32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</w:t>
      </w:r>
      <w:r w:rsidR="007F4B44">
        <w:rPr>
          <w:rFonts w:ascii="Arial" w:hAnsi="Arial"/>
        </w:rPr>
        <w:t xml:space="preserve"> na veřejném prostranství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0067CD3B" w14:textId="77777777" w:rsidR="0058405B" w:rsidRDefault="004147C9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425C32">
        <w:rPr>
          <w:rFonts w:ascii="Arial" w:hAnsi="Arial"/>
          <w:b/>
          <w:bCs/>
        </w:rPr>
        <w:t>n</w:t>
      </w:r>
      <w:r w:rsidR="007F4B44">
        <w:rPr>
          <w:rFonts w:ascii="Arial" w:hAnsi="Arial"/>
          <w:b/>
          <w:bCs/>
        </w:rPr>
        <w:t>a veřejných prostranstvích</w:t>
      </w:r>
      <w:r w:rsidRPr="00425C32">
        <w:rPr>
          <w:rFonts w:ascii="Arial" w:hAnsi="Arial"/>
          <w:b/>
          <w:bCs/>
        </w:rPr>
        <w:t xml:space="preserve">, </w:t>
      </w:r>
      <w:r w:rsidR="00A14018">
        <w:rPr>
          <w:rFonts w:ascii="Arial" w:hAnsi="Arial"/>
          <w:b/>
          <w:bCs/>
        </w:rPr>
        <w:t>vymezených</w:t>
      </w:r>
      <w:r w:rsidRPr="0058405B">
        <w:rPr>
          <w:rFonts w:ascii="Arial" w:hAnsi="Arial"/>
          <w:b/>
          <w:bCs/>
        </w:rPr>
        <w:t xml:space="preserve"> </w:t>
      </w:r>
      <w:r w:rsidRPr="0058405B">
        <w:rPr>
          <w:rFonts w:ascii="Arial" w:hAnsi="Arial"/>
          <w:b/>
        </w:rPr>
        <w:t>v příloze č. 1,</w:t>
      </w:r>
      <w:r w:rsidRPr="00425C32">
        <w:rPr>
          <w:rFonts w:ascii="Arial" w:hAnsi="Arial"/>
        </w:rPr>
        <w:t xml:space="preserve"> která je nedílnou součástí této obecně závazné vyhlášky</w:t>
      </w:r>
      <w:r w:rsidR="00425C32">
        <w:rPr>
          <w:rFonts w:ascii="Arial" w:hAnsi="Arial"/>
        </w:rPr>
        <w:t>,</w:t>
      </w:r>
      <w:r w:rsidRPr="00425C32">
        <w:rPr>
          <w:rFonts w:ascii="Arial" w:hAnsi="Arial"/>
        </w:rPr>
        <w:t xml:space="preserve"> </w:t>
      </w:r>
      <w:r w:rsidR="00425C32" w:rsidRPr="0003654D">
        <w:rPr>
          <w:rFonts w:ascii="Arial" w:hAnsi="Arial"/>
          <w:b/>
        </w:rPr>
        <w:t>je m</w:t>
      </w:r>
      <w:r w:rsidR="0058405B" w:rsidRPr="0003654D">
        <w:rPr>
          <w:rFonts w:ascii="Arial" w:hAnsi="Arial"/>
          <w:b/>
        </w:rPr>
        <w:t>ožný pohyb psů pouze na vodítku</w:t>
      </w:r>
    </w:p>
    <w:p w14:paraId="2938F9F2" w14:textId="77777777" w:rsidR="007F4B44" w:rsidRDefault="007F4B44" w:rsidP="007F4B44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425C32"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>a veřejných prostranstvích</w:t>
      </w:r>
      <w:r w:rsidRPr="00425C32">
        <w:rPr>
          <w:rFonts w:ascii="Arial" w:hAnsi="Arial"/>
          <w:b/>
          <w:bCs/>
        </w:rPr>
        <w:t xml:space="preserve">, </w:t>
      </w:r>
      <w:r w:rsidR="00A14018">
        <w:rPr>
          <w:rFonts w:ascii="Arial" w:hAnsi="Arial"/>
          <w:b/>
          <w:bCs/>
        </w:rPr>
        <w:t>vymezených</w:t>
      </w:r>
      <w:r w:rsidRPr="0058405B">
        <w:rPr>
          <w:rFonts w:ascii="Arial" w:hAnsi="Arial"/>
          <w:b/>
          <w:bCs/>
        </w:rPr>
        <w:t xml:space="preserve"> </w:t>
      </w:r>
      <w:r w:rsidRPr="0058405B">
        <w:rPr>
          <w:rFonts w:ascii="Arial" w:hAnsi="Arial"/>
          <w:b/>
        </w:rPr>
        <w:t>v příloze č. 1,</w:t>
      </w:r>
      <w:r w:rsidRPr="00425C32">
        <w:rPr>
          <w:rFonts w:ascii="Arial" w:hAnsi="Arial"/>
        </w:rPr>
        <w:t xml:space="preserve"> která je nedílnou součástí této obecně závazné vyhlášky</w:t>
      </w:r>
      <w:r>
        <w:rPr>
          <w:rFonts w:ascii="Arial" w:hAnsi="Arial"/>
        </w:rPr>
        <w:t>,</w:t>
      </w:r>
      <w:r w:rsidRPr="00425C32">
        <w:rPr>
          <w:rFonts w:ascii="Arial" w:hAnsi="Arial"/>
        </w:rPr>
        <w:t xml:space="preserve"> </w:t>
      </w:r>
      <w:r w:rsidRPr="0003654D">
        <w:rPr>
          <w:rFonts w:ascii="Arial" w:hAnsi="Arial"/>
          <w:b/>
        </w:rPr>
        <w:t xml:space="preserve">je </w:t>
      </w:r>
      <w:r>
        <w:rPr>
          <w:rFonts w:ascii="Arial" w:hAnsi="Arial"/>
          <w:b/>
        </w:rPr>
        <w:t xml:space="preserve">v případě doprovodu nezletilé osoby </w:t>
      </w:r>
      <w:r w:rsidRPr="0003654D">
        <w:rPr>
          <w:rFonts w:ascii="Arial" w:hAnsi="Arial"/>
          <w:b/>
        </w:rPr>
        <w:t>pohyb psů</w:t>
      </w:r>
      <w:r>
        <w:rPr>
          <w:rFonts w:ascii="Arial" w:hAnsi="Arial"/>
          <w:b/>
        </w:rPr>
        <w:t xml:space="preserve"> možný</w:t>
      </w:r>
      <w:r w:rsidRPr="0003654D">
        <w:rPr>
          <w:rFonts w:ascii="Arial" w:hAnsi="Arial"/>
          <w:b/>
        </w:rPr>
        <w:t xml:space="preserve"> pouze na vodítku</w:t>
      </w:r>
      <w:r>
        <w:rPr>
          <w:rFonts w:ascii="Arial" w:hAnsi="Arial"/>
          <w:b/>
        </w:rPr>
        <w:t xml:space="preserve"> a s náhubkem.</w:t>
      </w:r>
    </w:p>
    <w:p w14:paraId="09D98486" w14:textId="77777777" w:rsidR="0058405B" w:rsidRPr="007F4B44" w:rsidRDefault="0058405B" w:rsidP="007F4B44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7F4B44">
        <w:rPr>
          <w:rFonts w:ascii="Arial" w:hAnsi="Arial"/>
          <w:iCs/>
        </w:rPr>
        <w:t xml:space="preserve">na veřejném prostranství </w:t>
      </w:r>
      <w:r w:rsidRPr="007F4B44">
        <w:rPr>
          <w:rFonts w:ascii="Arial" w:hAnsi="Arial"/>
          <w:b/>
          <w:iCs/>
        </w:rPr>
        <w:t>je nutné odstranit znečištění</w:t>
      </w:r>
      <w:r w:rsidRPr="007F4B44">
        <w:rPr>
          <w:rFonts w:ascii="Arial" w:hAnsi="Arial"/>
          <w:iCs/>
        </w:rPr>
        <w:t xml:space="preserve"> (např. tuhý exkrement) </w:t>
      </w:r>
      <w:r w:rsidRPr="007F4B44">
        <w:rPr>
          <w:rFonts w:ascii="Arial" w:hAnsi="Arial"/>
          <w:b/>
          <w:iCs/>
        </w:rPr>
        <w:t>způsobený psem.</w:t>
      </w:r>
    </w:p>
    <w:p w14:paraId="78BDAEBD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</w:t>
      </w:r>
      <w:r w:rsidR="007F4B44">
        <w:rPr>
          <w:rFonts w:ascii="Arial" w:hAnsi="Arial"/>
        </w:rPr>
        <w:t xml:space="preserve"> písm. a), </w:t>
      </w:r>
      <w:r w:rsidR="00807875">
        <w:rPr>
          <w:rFonts w:ascii="Arial" w:hAnsi="Arial"/>
        </w:rPr>
        <w:t>b)</w:t>
      </w:r>
      <w:r w:rsidR="007F4B44">
        <w:rPr>
          <w:rFonts w:ascii="Arial" w:hAnsi="Arial"/>
        </w:rPr>
        <w:t>, c)</w:t>
      </w:r>
      <w:r w:rsidR="0080787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1FE5935B" w14:textId="77777777" w:rsidR="004D5CAF" w:rsidRDefault="00807875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</w:t>
      </w:r>
      <w:r w:rsidR="004147C9">
        <w:rPr>
          <w:rFonts w:ascii="Arial" w:hAnsi="Arial"/>
        </w:rPr>
        <w:t xml:space="preserve"> v odst. 1</w:t>
      </w:r>
      <w:r>
        <w:rPr>
          <w:rFonts w:ascii="Arial" w:hAnsi="Arial"/>
        </w:rPr>
        <w:t xml:space="preserve"> písm. a)</w:t>
      </w:r>
      <w:r w:rsidR="004147C9">
        <w:rPr>
          <w:rFonts w:ascii="Arial" w:hAnsi="Arial"/>
        </w:rPr>
        <w:t xml:space="preserve"> se nevztahuje na psy při jejich použití dle zvláštních předpisů</w:t>
      </w:r>
      <w:r w:rsidR="004147C9">
        <w:rPr>
          <w:rStyle w:val="Znakapoznpodarou"/>
          <w:rFonts w:ascii="Arial" w:eastAsia="Arial" w:hAnsi="Arial" w:cs="Arial"/>
        </w:rPr>
        <w:footnoteReference w:id="4"/>
      </w:r>
      <w:r w:rsidR="004147C9">
        <w:rPr>
          <w:rStyle w:val="Znakapoznpodarou"/>
          <w:rFonts w:ascii="Arial" w:hAnsi="Arial"/>
        </w:rPr>
        <w:t>)</w:t>
      </w:r>
      <w:r w:rsidR="004147C9">
        <w:rPr>
          <w:rFonts w:ascii="Arial" w:hAnsi="Arial"/>
        </w:rPr>
        <w:t xml:space="preserve">. </w:t>
      </w:r>
    </w:p>
    <w:p w14:paraId="4552C5ED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7FF3F6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2EBED632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6A2C0DFC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72163E0" w14:textId="77777777" w:rsidR="0003654D" w:rsidRPr="000E5A0C" w:rsidRDefault="004147C9" w:rsidP="000E5A0C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obecně závaznou vyhláškou se ru</w:t>
      </w:r>
      <w:r w:rsidR="007F4B44">
        <w:rPr>
          <w:rFonts w:ascii="Arial" w:hAnsi="Arial"/>
          <w:sz w:val="22"/>
          <w:szCs w:val="22"/>
        </w:rPr>
        <w:t xml:space="preserve">ší obecně závazná vyhláška </w:t>
      </w:r>
      <w:r w:rsidR="0058405B">
        <w:rPr>
          <w:rFonts w:ascii="Arial" w:hAnsi="Arial"/>
          <w:sz w:val="22"/>
          <w:szCs w:val="22"/>
        </w:rPr>
        <w:t xml:space="preserve">č. </w:t>
      </w:r>
      <w:r w:rsidR="007F4B44">
        <w:rPr>
          <w:rFonts w:ascii="Arial" w:hAnsi="Arial"/>
          <w:sz w:val="22"/>
          <w:szCs w:val="22"/>
        </w:rPr>
        <w:t>3/2007, kterou se stanovují pravidla pro pohyb psů na veřejném prostranství a vymezují se prostory pro volné pobíhání psů, ze dne 6. 12. 2007.</w:t>
      </w:r>
      <w:r w:rsidR="0058405B">
        <w:rPr>
          <w:rFonts w:ascii="Arial" w:hAnsi="Arial"/>
          <w:sz w:val="22"/>
          <w:szCs w:val="22"/>
        </w:rPr>
        <w:t xml:space="preserve">  </w:t>
      </w:r>
    </w:p>
    <w:p w14:paraId="17014E5C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2827EBE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1E92A809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7B4518F0" w14:textId="77777777" w:rsidR="004C258C" w:rsidRPr="0003654D" w:rsidRDefault="004147C9" w:rsidP="0003654D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sz w:val="22"/>
          <w:szCs w:val="22"/>
          <w:bdr w:val="none" w:sz="0" w:space="0" w:color="auto"/>
        </w:rPr>
      </w:pPr>
      <w:r w:rsidRPr="004147C9">
        <w:rPr>
          <w:rFonts w:ascii="Arial" w:hAnsi="Arial" w:cs="Arial"/>
          <w:sz w:val="22"/>
          <w:szCs w:val="22"/>
        </w:rPr>
        <w:t xml:space="preserve">Tato </w:t>
      </w:r>
      <w:r w:rsidR="009077D8">
        <w:rPr>
          <w:rFonts w:ascii="Arial" w:hAnsi="Arial" w:cs="Arial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sz w:val="22"/>
          <w:szCs w:val="22"/>
        </w:rPr>
        <w:t>vyhláška nabývá ú</w:t>
      </w:r>
      <w:r w:rsidR="0003654D">
        <w:rPr>
          <w:rFonts w:ascii="Arial" w:hAnsi="Arial" w:cs="Arial"/>
          <w:sz w:val="22"/>
          <w:szCs w:val="22"/>
        </w:rPr>
        <w:t xml:space="preserve">činnosti dnem </w:t>
      </w:r>
      <w:r w:rsidR="004C258C"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počátkem patnáctého dne následujícího po dni jejího vyhlášení.</w:t>
      </w:r>
    </w:p>
    <w:p w14:paraId="24DAADD1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44B03DD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CE0266C" w14:textId="77777777" w:rsidR="007F4B44" w:rsidRDefault="007F4B44" w:rsidP="007F4B44">
      <w:pPr>
        <w:spacing w:after="120"/>
        <w:rPr>
          <w:rFonts w:ascii="Arial" w:hAnsi="Arial" w:cs="Arial"/>
          <w:sz w:val="22"/>
          <w:szCs w:val="22"/>
        </w:rPr>
      </w:pPr>
    </w:p>
    <w:p w14:paraId="3E2F083A" w14:textId="77777777" w:rsidR="007F4B44" w:rsidRDefault="007F4B44" w:rsidP="007F4B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D5B70D0" w14:textId="77777777" w:rsidR="007F4B44" w:rsidRDefault="007F4B44" w:rsidP="007F4B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Bohuslav Turek, DiS.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Vítězslav Jílek</w:t>
      </w:r>
    </w:p>
    <w:p w14:paraId="2803A9F0" w14:textId="77777777" w:rsidR="007F4B44" w:rsidRPr="00727597" w:rsidRDefault="007F4B44" w:rsidP="007F4B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F9B35E1" w14:textId="77777777" w:rsidR="0003654D" w:rsidRDefault="004147C9" w:rsidP="007F4B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706EBC79" w14:textId="77777777" w:rsidR="0003654D" w:rsidRDefault="0003654D" w:rsidP="007F4B4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63414F96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72168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E96C8B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F60190" w14:textId="77777777" w:rsidR="0003654D" w:rsidRDefault="0003654D" w:rsidP="000365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20A6CED3" w14:textId="77777777" w:rsidR="0003654D" w:rsidRDefault="0003654D" w:rsidP="00D729B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A594281" w14:textId="77777777" w:rsidR="004D5CAF" w:rsidRDefault="004147C9" w:rsidP="0003654D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0D591E24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EE6054C" w14:textId="77777777" w:rsidR="0003654D" w:rsidRDefault="0003654D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4966139E" w14:textId="77777777" w:rsidR="0003654D" w:rsidRDefault="0003654D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6C0B7A86" w14:textId="77777777" w:rsidR="00051C95" w:rsidRDefault="004147C9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</w:t>
      </w:r>
      <w:r w:rsidR="007F4B44">
        <w:rPr>
          <w:rFonts w:ascii="Arial" w:hAnsi="Arial"/>
          <w:sz w:val="22"/>
          <w:szCs w:val="22"/>
        </w:rPr>
        <w:t xml:space="preserve">1 k obecně závazné vyhlášce městyse Přídolí, </w:t>
      </w:r>
      <w:r>
        <w:rPr>
          <w:rFonts w:ascii="Arial" w:hAnsi="Arial"/>
          <w:sz w:val="22"/>
          <w:szCs w:val="22"/>
        </w:rPr>
        <w:t>kterou se stanovují pravidla pro pohyb psů na v</w:t>
      </w:r>
      <w:r w:rsidR="0003654D">
        <w:rPr>
          <w:rFonts w:ascii="Arial" w:hAnsi="Arial"/>
          <w:sz w:val="22"/>
          <w:szCs w:val="22"/>
        </w:rPr>
        <w:t>eř</w:t>
      </w:r>
      <w:r w:rsidR="007F4B44">
        <w:rPr>
          <w:rFonts w:ascii="Arial" w:hAnsi="Arial"/>
          <w:sz w:val="22"/>
          <w:szCs w:val="22"/>
        </w:rPr>
        <w:t>ejném prostranství</w:t>
      </w:r>
      <w:r w:rsidR="00051C95">
        <w:rPr>
          <w:rFonts w:ascii="Arial" w:hAnsi="Arial"/>
          <w:sz w:val="22"/>
          <w:szCs w:val="22"/>
        </w:rPr>
        <w:t xml:space="preserve"> – vymezení veřejného prostranství</w:t>
      </w:r>
    </w:p>
    <w:p w14:paraId="0F6856A0" w14:textId="77777777" w:rsidR="00051C95" w:rsidRDefault="00051C95" w:rsidP="00051C95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2 k obecně závazné vyhlášce městyse Přídolí, kterou se stanovují pravidla pro pohyb psů na veřejném prostranství – mapový podklad</w:t>
      </w:r>
    </w:p>
    <w:p w14:paraId="30CFF9FD" w14:textId="77777777" w:rsidR="004D5CAF" w:rsidRDefault="00051C95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sectPr w:rsidR="004D5CAF" w:rsidSect="00F16008">
      <w:headerReference w:type="default" r:id="rId7"/>
      <w:footerReference w:type="default" r:id="rId8"/>
      <w:type w:val="continuous"/>
      <w:pgSz w:w="11900" w:h="16840"/>
      <w:pgMar w:top="1417" w:right="1417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B846" w14:textId="77777777" w:rsidR="00077735" w:rsidRDefault="00077735">
      <w:r>
        <w:separator/>
      </w:r>
    </w:p>
  </w:endnote>
  <w:endnote w:type="continuationSeparator" w:id="0">
    <w:p w14:paraId="797F2A26" w14:textId="77777777" w:rsidR="00077735" w:rsidRDefault="000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90D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2BCA" w14:textId="77777777" w:rsidR="00077735" w:rsidRDefault="00077735">
      <w:r>
        <w:separator/>
      </w:r>
    </w:p>
  </w:footnote>
  <w:footnote w:type="continuationSeparator" w:id="0">
    <w:p w14:paraId="1B774C8B" w14:textId="77777777" w:rsidR="00077735" w:rsidRDefault="00077735">
      <w:r>
        <w:continuationSeparator/>
      </w:r>
    </w:p>
  </w:footnote>
  <w:footnote w:type="continuationNotice" w:id="1">
    <w:p w14:paraId="483C589D" w14:textId="77777777" w:rsidR="00077735" w:rsidRDefault="00077735"/>
  </w:footnote>
  <w:footnote w:id="2">
    <w:p w14:paraId="2E560E3B" w14:textId="77777777" w:rsidR="004D5CAF" w:rsidRPr="0003654D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</w:rPr>
        <w:t xml:space="preserve"> § </w:t>
      </w:r>
      <w:r w:rsidRPr="0003654D">
        <w:rPr>
          <w:rFonts w:ascii="Arial" w:hAnsi="Arial"/>
          <w:sz w:val="16"/>
          <w:szCs w:val="16"/>
          <w:lang w:val="de-DE"/>
        </w:rPr>
        <w:t>34 z</w:t>
      </w:r>
      <w:r w:rsidRPr="0003654D">
        <w:rPr>
          <w:rFonts w:ascii="Arial" w:hAnsi="Arial"/>
          <w:sz w:val="16"/>
          <w:szCs w:val="16"/>
        </w:rPr>
        <w:t xml:space="preserve">ákona č. 128/2000 Sb., o obcích (obecní zřízení), ve znění pozdějších předpisů. </w:t>
      </w:r>
    </w:p>
  </w:footnote>
  <w:footnote w:id="3">
    <w:p w14:paraId="366CC22E" w14:textId="77777777" w:rsidR="004D5CAF" w:rsidRPr="0003654D" w:rsidRDefault="004147C9">
      <w:pPr>
        <w:pStyle w:val="Default"/>
        <w:ind w:left="142" w:hanging="142"/>
        <w:jc w:val="both"/>
        <w:rPr>
          <w:sz w:val="16"/>
          <w:szCs w:val="16"/>
        </w:rPr>
      </w:pPr>
      <w:r w:rsidRPr="0003654D">
        <w:rPr>
          <w:sz w:val="16"/>
          <w:szCs w:val="16"/>
          <w:vertAlign w:val="superscript"/>
        </w:rPr>
        <w:footnoteRef/>
      </w:r>
      <w:r w:rsidRPr="0003654D">
        <w:rPr>
          <w:sz w:val="16"/>
          <w:szCs w:val="16"/>
          <w:vertAlign w:val="superscript"/>
        </w:rPr>
        <w:t>)</w:t>
      </w:r>
      <w:r w:rsidRPr="0003654D"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056222E6" w14:textId="77777777" w:rsidR="004D5CAF" w:rsidRPr="0003654D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  <w:lang w:val="it-IT"/>
        </w:rPr>
        <w:t xml:space="preserve"> Nap</w:t>
      </w:r>
      <w:r w:rsidRPr="0003654D">
        <w:rPr>
          <w:rFonts w:ascii="Arial" w:hAnsi="Arial"/>
          <w:sz w:val="16"/>
          <w:szCs w:val="16"/>
        </w:rPr>
        <w:t>ř</w:t>
      </w:r>
      <w:r w:rsidRPr="0003654D">
        <w:rPr>
          <w:rFonts w:ascii="Arial" w:hAnsi="Arial"/>
          <w:sz w:val="16"/>
          <w:szCs w:val="16"/>
          <w:lang w:val="de-DE"/>
        </w:rPr>
        <w:t>. z</w:t>
      </w:r>
      <w:r w:rsidRPr="0003654D">
        <w:rPr>
          <w:rFonts w:ascii="Arial" w:hAnsi="Arial"/>
          <w:sz w:val="16"/>
          <w:szCs w:val="16"/>
        </w:rPr>
        <w:t>ákon č. 273/2008 Sb., o Policii Česk</w:t>
      </w:r>
      <w:r w:rsidRPr="0003654D">
        <w:rPr>
          <w:rFonts w:ascii="Arial" w:hAnsi="Arial"/>
          <w:sz w:val="16"/>
          <w:szCs w:val="16"/>
          <w:lang w:val="fr-FR"/>
        </w:rPr>
        <w:t xml:space="preserve">é </w:t>
      </w:r>
      <w:r w:rsidRPr="0003654D">
        <w:rPr>
          <w:rFonts w:ascii="Arial" w:hAnsi="Arial"/>
          <w:sz w:val="16"/>
          <w:szCs w:val="16"/>
        </w:rPr>
        <w:t>republiky, ve znění pozdějších předpisů</w:t>
      </w:r>
      <w:r w:rsidRPr="0003654D">
        <w:rPr>
          <w:rFonts w:ascii="Arial" w:hAnsi="Arial"/>
          <w:sz w:val="16"/>
          <w:szCs w:val="16"/>
          <w:lang w:val="nl-NL"/>
        </w:rPr>
        <w:t>, z</w:t>
      </w:r>
      <w:r w:rsidRPr="0003654D">
        <w:rPr>
          <w:rFonts w:ascii="Arial" w:hAnsi="Arial"/>
          <w:sz w:val="16"/>
          <w:szCs w:val="16"/>
        </w:rPr>
        <w:t>ákon č. 553/1991 Sb., o obecní policii, ve znění pozdějších předpisů.</w:t>
      </w:r>
      <w:r w:rsidRPr="0003654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AB99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EF2"/>
    <w:multiLevelType w:val="hybridMultilevel"/>
    <w:tmpl w:val="605E4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525768">
    <w:abstractNumId w:val="6"/>
  </w:num>
  <w:num w:numId="2" w16cid:durableId="1145006242">
    <w:abstractNumId w:val="2"/>
  </w:num>
  <w:num w:numId="3" w16cid:durableId="814612571">
    <w:abstractNumId w:val="2"/>
    <w:lvlOverride w:ilvl="0">
      <w:lvl w:ilvl="0" w:tplc="790C25B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61C05C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9431A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FCCA3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4A47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8AA19A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0A907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E2416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92C5E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1498128">
    <w:abstractNumId w:val="4"/>
  </w:num>
  <w:num w:numId="5" w16cid:durableId="170529118">
    <w:abstractNumId w:val="1"/>
  </w:num>
  <w:num w:numId="6" w16cid:durableId="1892763434">
    <w:abstractNumId w:val="1"/>
    <w:lvlOverride w:ilvl="0">
      <w:lvl w:ilvl="0" w:tplc="48A6916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A42B3C0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76C15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36E1B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08255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36A18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2A3A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A6835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DA664E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97032114">
    <w:abstractNumId w:val="5"/>
  </w:num>
  <w:num w:numId="8" w16cid:durableId="648943962">
    <w:abstractNumId w:val="3"/>
  </w:num>
  <w:num w:numId="9" w16cid:durableId="19246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54D"/>
    <w:rsid w:val="00051C95"/>
    <w:rsid w:val="00077735"/>
    <w:rsid w:val="000E5A0C"/>
    <w:rsid w:val="000F0681"/>
    <w:rsid w:val="0010384A"/>
    <w:rsid w:val="001203F5"/>
    <w:rsid w:val="002529A2"/>
    <w:rsid w:val="0027446E"/>
    <w:rsid w:val="003B699E"/>
    <w:rsid w:val="003C7616"/>
    <w:rsid w:val="003F32F9"/>
    <w:rsid w:val="004051F3"/>
    <w:rsid w:val="004147C9"/>
    <w:rsid w:val="00425C32"/>
    <w:rsid w:val="00481AA0"/>
    <w:rsid w:val="004C258C"/>
    <w:rsid w:val="004D5CAF"/>
    <w:rsid w:val="0058405B"/>
    <w:rsid w:val="00592CB1"/>
    <w:rsid w:val="005B429F"/>
    <w:rsid w:val="0067612B"/>
    <w:rsid w:val="007157ED"/>
    <w:rsid w:val="007F4B44"/>
    <w:rsid w:val="00807875"/>
    <w:rsid w:val="00810DAE"/>
    <w:rsid w:val="009077D8"/>
    <w:rsid w:val="009B1EFB"/>
    <w:rsid w:val="00A14018"/>
    <w:rsid w:val="00AC769E"/>
    <w:rsid w:val="00AE4291"/>
    <w:rsid w:val="00AE6D74"/>
    <w:rsid w:val="00B1606E"/>
    <w:rsid w:val="00B42504"/>
    <w:rsid w:val="00B54873"/>
    <w:rsid w:val="00BA773C"/>
    <w:rsid w:val="00C63A4A"/>
    <w:rsid w:val="00CB6618"/>
    <w:rsid w:val="00D729BD"/>
    <w:rsid w:val="00DA73EA"/>
    <w:rsid w:val="00EC7B4D"/>
    <w:rsid w:val="00F01C7F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F3C2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01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Josef Sýkora</cp:lastModifiedBy>
  <cp:revision>2</cp:revision>
  <cp:lastPrinted>2023-03-28T10:22:00Z</cp:lastPrinted>
  <dcterms:created xsi:type="dcterms:W3CDTF">2023-07-03T14:07:00Z</dcterms:created>
  <dcterms:modified xsi:type="dcterms:W3CDTF">2023-07-03T14:07:00Z</dcterms:modified>
</cp:coreProperties>
</file>