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spacing w:before="240" w:after="120"/>
        <w:rPr/>
      </w:pPr>
      <w:r>
        <w:rPr/>
        <w:t>Město Libáň</w:t>
        <w:br/>
        <w:t>Zastupitelstvo města Libáň</w:t>
      </w:r>
    </w:p>
    <w:p>
      <w:pPr>
        <w:pStyle w:val="Nadpis1"/>
        <w:tabs>
          <w:tab w:val="clear" w:pos="709"/>
          <w:tab w:val="left" w:pos="0" w:leader="none"/>
        </w:tabs>
        <w:ind w:left="0" w:hanging="0"/>
        <w:rPr/>
      </w:pPr>
      <w:r>
        <w:rPr/>
        <w:t>Obecně závazná vyhláška města Libáň</w:t>
        <w:br/>
        <w:t>o místním poplatku ze psů</w:t>
      </w:r>
    </w:p>
    <w:p>
      <w:pPr>
        <w:pStyle w:val="UvodniVeta"/>
        <w:rPr/>
      </w:pPr>
      <w:r>
        <w:rPr/>
        <w:t>Zastupitelstvo města Libáň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left="0" w:hanging="0"/>
        <w:rPr/>
      </w:pPr>
      <w:r>
        <w:rPr/>
        <w:t>Čl. 1</w:t>
        <w:br/>
        <w:t>Úvodní ustanovení</w:t>
      </w:r>
    </w:p>
    <w:p>
      <w:pPr>
        <w:pStyle w:val="Odstavec"/>
        <w:numPr>
          <w:ilvl w:val="0"/>
          <w:numId w:val="2"/>
        </w:numPr>
        <w:rPr/>
      </w:pPr>
      <w:r>
        <w:rPr/>
        <w:t>Město Libáň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městský úřad</w:t>
      </w:r>
      <w:r>
        <w:rPr>
          <w:rStyle w:val="Znakapoznpodarou"/>
          <w:rStyle w:val="Znakapoznpodarou"/>
        </w:rPr>
        <w:footnoteReference w:id="3"/>
      </w:r>
      <w:r>
        <w:rPr/>
        <w:t>.</w:t>
      </w:r>
    </w:p>
    <w:p>
      <w:pPr>
        <w:pStyle w:val="Nadpis2"/>
        <w:tabs>
          <w:tab w:val="clear" w:pos="709"/>
          <w:tab w:val="left" w:pos="0" w:leader="none"/>
        </w:tabs>
        <w:ind w:left="0" w:hanging="0"/>
        <w:rPr/>
      </w:pPr>
      <w:r>
        <w:rPr/>
        <w:t>Čl. 2</w:t>
        <w:br/>
        <w:t>Předmět poplatku a poplatník</w:t>
      </w:r>
    </w:p>
    <w:p>
      <w:pPr>
        <w:pStyle w:val="Odstavec"/>
        <w:numPr>
          <w:ilvl w:val="0"/>
          <w:numId w:val="6"/>
        </w:numPr>
        <w:rPr/>
      </w:pPr>
      <w:r>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Style w:val="Znakapoznpodarou"/>
        </w:rPr>
        <w:footnoteReference w:id="4"/>
      </w:r>
      <w:r>
        <w:rPr/>
        <w:t>.</w:t>
      </w:r>
    </w:p>
    <w:p>
      <w:pPr>
        <w:pStyle w:val="Odstavec"/>
        <w:numPr>
          <w:ilvl w:val="0"/>
          <w:numId w:val="5"/>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left="0" w:hanging="0"/>
        <w:rPr/>
      </w:pPr>
      <w:r>
        <w:rPr/>
        <w:t>Čl. 3</w:t>
        <w:br/>
        <w:t>Ohlašovací povinnost</w:t>
      </w:r>
    </w:p>
    <w:p>
      <w:pPr>
        <w:pStyle w:val="Odstavec"/>
        <w:numPr>
          <w:ilvl w:val="0"/>
          <w:numId w:val="8"/>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7"/>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left="0" w:hanging="0"/>
        <w:rPr/>
      </w:pPr>
      <w:r>
        <w:rPr/>
        <w:t>Čl. 4</w:t>
        <w:br/>
        <w:t>Sazba poplatku</w:t>
      </w:r>
    </w:p>
    <w:p>
      <w:pPr>
        <w:pStyle w:val="Odstavec"/>
        <w:numPr>
          <w:ilvl w:val="0"/>
          <w:numId w:val="10"/>
        </w:numPr>
        <w:rPr/>
      </w:pPr>
      <w:r>
        <w:rPr/>
        <w:t>Sazba poplatku za kalendářní rok činí:</w:t>
      </w:r>
    </w:p>
    <w:p>
      <w:pPr>
        <w:pStyle w:val="Odstavec"/>
        <w:keepNext w:val="true"/>
        <w:numPr>
          <w:ilvl w:val="1"/>
          <w:numId w:val="9"/>
        </w:numPr>
        <w:rPr/>
      </w:pPr>
      <w:r>
        <w:rPr/>
        <w:t>v části města Kozodírky, Křešice, Psinice, Zliv</w:t>
      </w:r>
    </w:p>
    <w:p>
      <w:pPr>
        <w:pStyle w:val="Odstavec"/>
        <w:keepNext w:val="true"/>
        <w:numPr>
          <w:ilvl w:val="0"/>
          <w:numId w:val="3"/>
        </w:numPr>
        <w:rPr/>
      </w:pPr>
      <w:r>
        <w:rPr/>
        <w:t xml:space="preserve">za jednoho psa </w:t>
        <w:tab/>
        <w:tab/>
        <w:tab/>
        <w:tab/>
        <w:tab/>
        <w:t>100 Kč,</w:t>
      </w:r>
    </w:p>
    <w:p>
      <w:pPr>
        <w:pStyle w:val="Odstavec"/>
        <w:keepNext w:val="true"/>
        <w:numPr>
          <w:ilvl w:val="0"/>
          <w:numId w:val="3"/>
        </w:numPr>
        <w:rPr/>
      </w:pPr>
      <w:r>
        <w:rPr/>
        <w:t xml:space="preserve">za druhého a každého dalšího psa téhož držitele </w:t>
        <w:tab/>
        <w:t>100 Kč,</w:t>
      </w:r>
    </w:p>
    <w:p>
      <w:pPr>
        <w:pStyle w:val="Odstavec"/>
        <w:keepNext w:val="true"/>
        <w:numPr>
          <w:ilvl w:val="1"/>
          <w:numId w:val="11"/>
        </w:numPr>
        <w:rPr/>
      </w:pPr>
      <w:r>
        <w:rPr/>
        <w:t>v části města Libáň</w:t>
      </w:r>
    </w:p>
    <w:p>
      <w:pPr>
        <w:pStyle w:val="Odstavec"/>
        <w:numPr>
          <w:ilvl w:val="0"/>
          <w:numId w:val="4"/>
        </w:numPr>
        <w:rPr/>
      </w:pPr>
      <w:r>
        <w:rPr/>
        <w:t xml:space="preserve">za jednoho psa </w:t>
        <w:tab/>
        <w:tab/>
        <w:tab/>
        <w:tab/>
        <w:tab/>
        <w:t>200 Kč,</w:t>
      </w:r>
    </w:p>
    <w:p>
      <w:pPr>
        <w:pStyle w:val="Odstavec"/>
        <w:numPr>
          <w:ilvl w:val="0"/>
          <w:numId w:val="4"/>
        </w:numPr>
        <w:rPr/>
      </w:pPr>
      <w:r>
        <w:rPr/>
        <w:t xml:space="preserve">za druhého a každého dalšího psa téhož držitele </w:t>
        <w:tab/>
        <w:t>200 Kč.</w:t>
      </w:r>
    </w:p>
    <w:p>
      <w:pPr>
        <w:pStyle w:val="Odstavec"/>
        <w:numPr>
          <w:ilvl w:val="0"/>
          <w:numId w:val="12"/>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left="0" w:hanging="0"/>
        <w:rPr/>
      </w:pPr>
      <w:r>
        <w:rPr/>
        <w:t>Čl. 5</w:t>
        <w:br/>
        <w:t>Splatnost poplatku</w:t>
      </w:r>
    </w:p>
    <w:p>
      <w:pPr>
        <w:pStyle w:val="Odstavec"/>
        <w:numPr>
          <w:ilvl w:val="0"/>
          <w:numId w:val="14"/>
        </w:numPr>
        <w:rPr/>
      </w:pPr>
      <w:r>
        <w:rPr/>
        <w:t>Poplatek je splatný nejpozději do 31. března příslušného kalendářního roku.</w:t>
      </w:r>
    </w:p>
    <w:p>
      <w:pPr>
        <w:pStyle w:val="Odstavec"/>
        <w:numPr>
          <w:ilvl w:val="0"/>
          <w:numId w:val="13"/>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3"/>
        </w:numPr>
        <w:rPr/>
      </w:pPr>
      <w:r>
        <w:rPr/>
        <w:t>Lhůta splatnosti neskončí poplatníkovi dříve než lhůta pro podání ohlášení podle čl. 3 odst. 1 této vyhlášky.</w:t>
      </w:r>
    </w:p>
    <w:p>
      <w:pPr>
        <w:pStyle w:val="Nadpis2"/>
        <w:tabs>
          <w:tab w:val="clear" w:pos="709"/>
          <w:tab w:val="left" w:pos="0" w:leader="none"/>
        </w:tabs>
        <w:ind w:left="0" w:hanging="0"/>
        <w:rPr/>
      </w:pPr>
      <w:r>
        <w:rPr/>
        <w:t>Čl. 6</w:t>
        <w:br/>
        <w:t xml:space="preserve"> Osvobození</w:t>
      </w:r>
    </w:p>
    <w:p>
      <w:pPr>
        <w:pStyle w:val="Odstavec"/>
        <w:numPr>
          <w:ilvl w:val="0"/>
          <w:numId w:val="16"/>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5"/>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left="0" w:hanging="0"/>
        <w:rPr/>
      </w:pPr>
      <w:r>
        <w:rPr/>
        <w:t>Čl. 7</w:t>
        <w:br/>
        <w:t xml:space="preserve"> Přechodné a zrušovací ustanovení</w:t>
      </w:r>
    </w:p>
    <w:p>
      <w:pPr>
        <w:pStyle w:val="Odstavec"/>
        <w:numPr>
          <w:ilvl w:val="0"/>
          <w:numId w:val="18"/>
        </w:numPr>
        <w:rPr/>
      </w:pPr>
      <w:r>
        <w:rPr/>
        <w:t>Poplatkové povinnosti vzniklé před nabytím účinnosti této vyhlášky se posuzují podle dosavadních právních předpisů.</w:t>
      </w:r>
    </w:p>
    <w:p>
      <w:pPr>
        <w:pStyle w:val="Odstavec"/>
        <w:numPr>
          <w:ilvl w:val="0"/>
          <w:numId w:val="17"/>
        </w:numPr>
        <w:rPr/>
      </w:pPr>
      <w:r>
        <w:rPr/>
        <w:t>Zrušuje se obecně závazná vyhláška č. 1/2019, o místním poplatku ze psů, ze dne 27. listopadu 2019.</w:t>
      </w:r>
    </w:p>
    <w:p>
      <w:pPr>
        <w:pStyle w:val="Nadpis2"/>
        <w:tabs>
          <w:tab w:val="clear" w:pos="709"/>
          <w:tab w:val="left" w:pos="0" w:leader="none"/>
        </w:tabs>
        <w:ind w:left="0" w:hanging="0"/>
        <w:rPr/>
      </w:pPr>
      <w:r>
        <w:rPr/>
        <w:t>Čl. 8</w:t>
        <w:br/>
        <w:t>Účinnost</w:t>
      </w:r>
    </w:p>
    <w:p>
      <w:pPr>
        <w:pStyle w:val="Odstavec"/>
        <w:keepNext w:val="true"/>
        <w:rPr/>
      </w:pPr>
      <w:r>
        <w:rPr/>
        <w:t>Tato vyhláška nabývá účinnosti dnem 1. ledna 2024.</w:t>
      </w:r>
    </w:p>
    <w:p>
      <w:pPr>
        <w:pStyle w:val="Odstavec"/>
        <w:keepNext w:val="true"/>
        <w:rPr/>
      </w:pPr>
      <w:r>
        <w:rPr/>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rPr/>
            </w:pPr>
            <w:r>
              <w:rPr/>
              <w:t>Petr Soukup v. r.</w:t>
              <w:br/>
              <w:t xml:space="preserve"> starosta</w:t>
            </w:r>
          </w:p>
        </w:tc>
        <w:tc>
          <w:tcPr>
            <w:tcW w:w="4821" w:type="dxa"/>
            <w:tcBorders/>
            <w:vAlign w:val="bottom"/>
          </w:tcPr>
          <w:p>
            <w:pPr>
              <w:pStyle w:val="PodpisovePole"/>
              <w:keepNext w:val="true"/>
              <w:rPr/>
            </w:pPr>
            <w:r>
              <w:rPr/>
              <w:t>Vladimíra Klárová v. r.</w:t>
              <w:br/>
              <w:t xml:space="preserve"> místostarostka</w:t>
            </w:r>
          </w:p>
        </w:tc>
      </w:tr>
      <w:tr>
        <w:trPr>
          <w:trHeight w:val="1134" w:hRule="exact"/>
        </w:trPr>
        <w:tc>
          <w:tcPr>
            <w:tcW w:w="4820" w:type="dxa"/>
            <w:tcBorders/>
            <w:vAlign w:val="bottom"/>
          </w:tcPr>
          <w:p>
            <w:pPr>
              <w:pStyle w:val="PodpisovePole"/>
              <w:rPr/>
            </w:pPr>
            <w:r>
              <w:rPr/>
            </w:r>
          </w:p>
        </w:tc>
        <w:tc>
          <w:tcPr>
            <w:tcW w:w="4821" w:type="dxa"/>
            <w:tcBorders/>
            <w:vAlign w:val="bottom"/>
          </w:tcPr>
          <w:p>
            <w:pPr>
              <w:pStyle w:val="PodpisovePole"/>
              <w:rPr/>
            </w:pPr>
            <w:r>
              <w:rPr/>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1"/>
        </w:rPr>
        <w:footnoteRef/>
      </w:r>
      <w:r>
        <w:rPr/>
        <w:tab/>
        <w:t>§ 2 odst. 5 zákona o místních poplatcích</w:t>
      </w:r>
    </w:p>
  </w:footnote>
  <w:footnote w:id="3">
    <w:p>
      <w:pPr>
        <w:pStyle w:val="Poznmkapodarou"/>
        <w:rPr/>
      </w:pPr>
      <w:r>
        <w:rPr>
          <w:rStyle w:val="Znakypropoznmkupodarou1"/>
        </w:rPr>
        <w:footnoteRef/>
      </w:r>
      <w:r>
        <w:rPr/>
        <w:tab/>
        <w:t>§ 15 odst. 1 zákona o místních poplatcích</w:t>
      </w:r>
    </w:p>
  </w:footnote>
  <w:footnote w:id="4">
    <w:p>
      <w:pPr>
        <w:pStyle w:val="Poznmkapodarou"/>
        <w:rPr/>
      </w:pPr>
      <w:r>
        <w:rPr>
          <w:rStyle w:val="Znakypropoznmkupodarou1"/>
        </w:rPr>
        <w:footnoteRef/>
      </w:r>
      <w:r>
        <w:rPr/>
        <w:tab/>
        <w:t>§ 2 odst. 1 a 4 zákona o místních poplatcích</w:t>
      </w:r>
    </w:p>
  </w:footnote>
  <w:footnote w:id="5">
    <w:p>
      <w:pPr>
        <w:pStyle w:val="Poznmkapodarou"/>
        <w:rPr/>
      </w:pPr>
      <w:r>
        <w:rPr>
          <w:rStyle w:val="Znakypropoznmkupodarou1"/>
        </w:rPr>
        <w:footnoteRef/>
      </w:r>
      <w:r>
        <w:rPr/>
        <w:tab/>
        <w:t>§ 2 odst. 2 zákona o místních poplatcích</w:t>
      </w:r>
    </w:p>
  </w:footnote>
  <w:footnote w:id="6">
    <w:p>
      <w:pPr>
        <w:pStyle w:val="Poznmkapodarou"/>
        <w:rPr/>
      </w:pPr>
      <w:r>
        <w:rPr>
          <w:rStyle w:val="Znakypropoznmkupodarou1"/>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1"/>
        </w:rPr>
        <w:footnoteRef/>
      </w:r>
      <w:r>
        <w:rPr/>
        <w:tab/>
        <w:t>§ 14a odst. 4 zákona o místních poplatcích</w:t>
      </w:r>
    </w:p>
  </w:footnote>
  <w:footnote w:id="8">
    <w:p>
      <w:pPr>
        <w:pStyle w:val="Poznmkapodarou"/>
        <w:rPr/>
      </w:pPr>
      <w:r>
        <w:rPr>
          <w:rStyle w:val="Znakypropoznmkupodarou1"/>
        </w:rPr>
        <w:footnoteRef/>
      </w:r>
      <w:r>
        <w:rPr/>
        <w:tab/>
        <w:t>§ 2 odst. 3 zákona o místních poplatcích</w:t>
      </w:r>
    </w:p>
  </w:footnote>
  <w:footnote w:id="9">
    <w:p>
      <w:pPr>
        <w:pStyle w:val="Poznmkapodarou"/>
        <w:rPr/>
      </w:pPr>
      <w:r>
        <w:rPr>
          <w:rStyle w:val="Znakypropoznmkupodarou1"/>
        </w:rPr>
        <w:footnoteRef/>
      </w:r>
      <w:r>
        <w:rPr/>
        <w:tab/>
        <w:t>§ 2 odst. 2 zákona o místních poplatcích</w:t>
      </w:r>
    </w:p>
  </w:footnote>
  <w:footnote w:id="10">
    <w:p>
      <w:pPr>
        <w:pStyle w:val="Poznmkapodarou"/>
        <w:rPr/>
      </w:pPr>
      <w:r>
        <w:rPr>
          <w:rStyle w:val="Znakypropoznmkupodarou1"/>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1324" w:hanging="360"/>
      </w:pPr>
    </w:lvl>
    <w:lvl w:ilvl="1">
      <w:start w:val="1"/>
      <w:numFmt w:val="lowerLetter"/>
      <w:lvlText w:val="%2."/>
      <w:lvlJc w:val="left"/>
      <w:pPr>
        <w:tabs>
          <w:tab w:val="num" w:pos="0"/>
        </w:tabs>
        <w:ind w:left="2044" w:hanging="360"/>
      </w:pPr>
    </w:lvl>
    <w:lvl w:ilvl="2">
      <w:start w:val="1"/>
      <w:numFmt w:val="lowerRoman"/>
      <w:lvlText w:val="%3."/>
      <w:lvlJc w:val="right"/>
      <w:pPr>
        <w:tabs>
          <w:tab w:val="num" w:pos="0"/>
        </w:tabs>
        <w:ind w:left="2764" w:hanging="180"/>
      </w:pPr>
    </w:lvl>
    <w:lvl w:ilvl="3">
      <w:start w:val="1"/>
      <w:numFmt w:val="decimal"/>
      <w:lvlText w:val="%4."/>
      <w:lvlJc w:val="left"/>
      <w:pPr>
        <w:tabs>
          <w:tab w:val="num" w:pos="0"/>
        </w:tabs>
        <w:ind w:left="3484" w:hanging="360"/>
      </w:pPr>
    </w:lvl>
    <w:lvl w:ilvl="4">
      <w:start w:val="1"/>
      <w:numFmt w:val="lowerLetter"/>
      <w:lvlText w:val="%5."/>
      <w:lvlJc w:val="left"/>
      <w:pPr>
        <w:tabs>
          <w:tab w:val="num" w:pos="0"/>
        </w:tabs>
        <w:ind w:left="4204" w:hanging="360"/>
      </w:pPr>
    </w:lvl>
    <w:lvl w:ilvl="5">
      <w:start w:val="1"/>
      <w:numFmt w:val="lowerRoman"/>
      <w:lvlText w:val="%6."/>
      <w:lvlJc w:val="right"/>
      <w:pPr>
        <w:tabs>
          <w:tab w:val="num" w:pos="0"/>
        </w:tabs>
        <w:ind w:left="4924" w:hanging="180"/>
      </w:pPr>
    </w:lvl>
    <w:lvl w:ilvl="6">
      <w:start w:val="1"/>
      <w:numFmt w:val="decimal"/>
      <w:lvlText w:val="%7."/>
      <w:lvlJc w:val="left"/>
      <w:pPr>
        <w:tabs>
          <w:tab w:val="num" w:pos="0"/>
        </w:tabs>
        <w:ind w:left="5644" w:hanging="360"/>
      </w:pPr>
    </w:lvl>
    <w:lvl w:ilvl="7">
      <w:start w:val="1"/>
      <w:numFmt w:val="lowerLetter"/>
      <w:lvlText w:val="%8."/>
      <w:lvlJc w:val="left"/>
      <w:pPr>
        <w:tabs>
          <w:tab w:val="num" w:pos="0"/>
        </w:tabs>
        <w:ind w:left="6364" w:hanging="360"/>
      </w:pPr>
    </w:lvl>
    <w:lvl w:ilvl="8">
      <w:start w:val="1"/>
      <w:numFmt w:val="lowerRoman"/>
      <w:lvlText w:val="%9."/>
      <w:lvlJc w:val="right"/>
      <w:pPr>
        <w:tabs>
          <w:tab w:val="num" w:pos="0"/>
        </w:tabs>
        <w:ind w:left="7084" w:hanging="180"/>
      </w:pPr>
    </w:lvl>
  </w:abstractNum>
  <w:abstractNum w:abstractNumId="4">
    <w:lvl w:ilvl="0">
      <w:start w:val="1"/>
      <w:numFmt w:val="decimal"/>
      <w:lvlText w:val="%1."/>
      <w:lvlJc w:val="left"/>
      <w:pPr>
        <w:tabs>
          <w:tab w:val="num" w:pos="0"/>
        </w:tabs>
        <w:ind w:left="1324" w:hanging="360"/>
      </w:pPr>
    </w:lvl>
    <w:lvl w:ilvl="1">
      <w:start w:val="1"/>
      <w:numFmt w:val="lowerLetter"/>
      <w:lvlText w:val="%2."/>
      <w:lvlJc w:val="left"/>
      <w:pPr>
        <w:tabs>
          <w:tab w:val="num" w:pos="0"/>
        </w:tabs>
        <w:ind w:left="2044" w:hanging="360"/>
      </w:pPr>
    </w:lvl>
    <w:lvl w:ilvl="2">
      <w:start w:val="1"/>
      <w:numFmt w:val="lowerRoman"/>
      <w:lvlText w:val="%3."/>
      <w:lvlJc w:val="right"/>
      <w:pPr>
        <w:tabs>
          <w:tab w:val="num" w:pos="0"/>
        </w:tabs>
        <w:ind w:left="2764" w:hanging="180"/>
      </w:pPr>
    </w:lvl>
    <w:lvl w:ilvl="3">
      <w:start w:val="1"/>
      <w:numFmt w:val="decimal"/>
      <w:lvlText w:val="%4."/>
      <w:lvlJc w:val="left"/>
      <w:pPr>
        <w:tabs>
          <w:tab w:val="num" w:pos="0"/>
        </w:tabs>
        <w:ind w:left="3484" w:hanging="360"/>
      </w:pPr>
    </w:lvl>
    <w:lvl w:ilvl="4">
      <w:start w:val="1"/>
      <w:numFmt w:val="lowerLetter"/>
      <w:lvlText w:val="%5."/>
      <w:lvlJc w:val="left"/>
      <w:pPr>
        <w:tabs>
          <w:tab w:val="num" w:pos="0"/>
        </w:tabs>
        <w:ind w:left="4204" w:hanging="360"/>
      </w:pPr>
    </w:lvl>
    <w:lvl w:ilvl="5">
      <w:start w:val="1"/>
      <w:numFmt w:val="lowerRoman"/>
      <w:lvlText w:val="%6."/>
      <w:lvlJc w:val="right"/>
      <w:pPr>
        <w:tabs>
          <w:tab w:val="num" w:pos="0"/>
        </w:tabs>
        <w:ind w:left="4924" w:hanging="180"/>
      </w:pPr>
    </w:lvl>
    <w:lvl w:ilvl="6">
      <w:start w:val="1"/>
      <w:numFmt w:val="decimal"/>
      <w:lvlText w:val="%7."/>
      <w:lvlJc w:val="left"/>
      <w:pPr>
        <w:tabs>
          <w:tab w:val="num" w:pos="0"/>
        </w:tabs>
        <w:ind w:left="5644" w:hanging="360"/>
      </w:pPr>
    </w:lvl>
    <w:lvl w:ilvl="7">
      <w:start w:val="1"/>
      <w:numFmt w:val="lowerLetter"/>
      <w:lvlText w:val="%8."/>
      <w:lvlJc w:val="left"/>
      <w:pPr>
        <w:tabs>
          <w:tab w:val="num" w:pos="0"/>
        </w:tabs>
        <w:ind w:left="6364" w:hanging="360"/>
      </w:pPr>
    </w:lvl>
    <w:lvl w:ilvl="8">
      <w:start w:val="1"/>
      <w:numFmt w:val="lowerRoman"/>
      <w:lvlText w:val="%9."/>
      <w:lvlJc w:val="right"/>
      <w:pPr>
        <w:tabs>
          <w:tab w:val="num" w:pos="0"/>
        </w:tabs>
        <w:ind w:left="7084" w:hanging="180"/>
      </w:pPr>
    </w:lvl>
  </w:abstractNum>
  <w:abstractNum w:abstractNumId="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2"/>
  </w:num>
  <w:num w:numId="13">
    <w:abstractNumId w:val="13"/>
  </w:num>
  <w:num w:numId="14">
    <w:abstractNumId w:val="13"/>
    <w:lvlOverride w:ilvl="0">
      <w:startOverride w:val="1"/>
    </w:lvlOverride>
  </w:num>
  <w:num w:numId="15">
    <w:abstractNumId w:val="15"/>
  </w:num>
  <w:num w:numId="16">
    <w:abstractNumId w:val="15"/>
    <w:lvlOverride w:ilvl="0">
      <w:startOverride w:val="1"/>
    </w:lvlOverride>
  </w:num>
  <w:num w:numId="17">
    <w:abstractNumId w:val="17"/>
  </w:num>
  <w:num w:numId="18">
    <w:abstractNumId w:val="17"/>
    <w:lvlOverride w:ilvl="0">
      <w:startOverride w:val="1"/>
    </w:lvlOverride>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Nadpis1">
    <w:name w:val="Heading 1"/>
    <w:basedOn w:val="Nadpis"/>
    <w:next w:val="Tlotextu"/>
    <w:qFormat/>
    <w:pPr>
      <w:numPr>
        <w:ilvl w:val="0"/>
        <w:numId w:val="1"/>
      </w:numPr>
      <w:suppressAutoHyphens w:val="true"/>
      <w:spacing w:before="238" w:after="238"/>
      <w:jc w:val="center"/>
      <w:outlineLvl w:val="0"/>
    </w:pPr>
    <w:rPr>
      <w:b/>
      <w:bCs/>
      <w:sz w:val="24"/>
      <w:szCs w:val="24"/>
    </w:rPr>
  </w:style>
  <w:style w:type="paragraph" w:styleId="Nadpis2">
    <w:name w:val="Heading 2"/>
    <w:basedOn w:val="Nadpis"/>
    <w:next w:val="Tlotextu"/>
    <w:qFormat/>
    <w:pPr>
      <w:numPr>
        <w:ilvl w:val="1"/>
        <w:numId w:val="1"/>
      </w:numPr>
      <w:suppressAutoHyphens w:val="true"/>
      <w:spacing w:lineRule="auto" w:line="276" w:before="360" w:after="0"/>
      <w:jc w:val="center"/>
      <w:outlineLvl w:val="1"/>
    </w:pPr>
    <w:rPr>
      <w:b/>
      <w:bCs/>
      <w:sz w:val="24"/>
      <w:szCs w:val="24"/>
    </w:rPr>
  </w:style>
  <w:style w:type="character" w:styleId="Standardnpsmoodstavce">
    <w:name w:val="Standardní písmo odstavce"/>
    <w:qFormat/>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qFormat/>
    <w:rPr>
      <w:vertAlign w:val="superscript"/>
    </w:rPr>
  </w:style>
  <w:style w:type="character" w:styleId="Znakapoznpodarou">
    <w:name w:val="Značka pozn. pod čarou"/>
    <w:basedOn w:val="Standardnpsmoodstavce"/>
    <w:rPr>
      <w:vertAlign w:val="superscript"/>
    </w:rPr>
  </w:style>
  <w:style w:type="character" w:styleId="Znakypropoznmkupodarou1">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uppressAutoHyphens w:val="true"/>
      <w:spacing w:before="240" w:after="120"/>
    </w:pPr>
    <w:rPr>
      <w:rFonts w:ascii="Arial" w:hAnsi="Arial" w:eastAsia="PingFang SC"/>
      <w:sz w:val="28"/>
      <w:szCs w:val="28"/>
    </w:rPr>
  </w:style>
  <w:style w:type="paragraph" w:styleId="Tlotextu">
    <w:name w:val="Body Text"/>
    <w:basedOn w:val="Normal"/>
    <w:pPr>
      <w:suppressAutoHyphens w:val="true"/>
      <w:spacing w:lineRule="auto" w:line="276" w:before="0" w:after="140"/>
    </w:pPr>
    <w:rPr>
      <w:rFonts w:ascii="Arial" w:hAnsi="Arial" w:eastAsia="Arial" w:cs="Arial"/>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Seznam">
    <w:name w:val="List"/>
    <w:basedOn w:val="Tlotextu"/>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Rejstk">
    <w:name w:val="Rejstřík"/>
    <w:basedOn w:val="Normal"/>
    <w:qFormat/>
    <w:pPr>
      <w:suppressLineNumbers/>
      <w:suppressAutoHyphens w:val="true"/>
    </w:pPr>
    <w:rPr/>
  </w:style>
  <w:style w:type="paragraph" w:styleId="Nzev">
    <w:name w:val="Title"/>
    <w:basedOn w:val="Nadpis"/>
    <w:next w:val="Tlotextu"/>
    <w:qFormat/>
    <w:pPr>
      <w:suppressAutoHyphens w:val="true"/>
      <w:jc w:val="center"/>
    </w:pPr>
    <w:rPr>
      <w:b/>
      <w:bCs/>
      <w:sz w:val="24"/>
      <w:szCs w:val="24"/>
    </w:rPr>
  </w:style>
  <w:style w:type="paragraph" w:styleId="UvodniVeta">
    <w:name w:val="UvodniVeta"/>
    <w:basedOn w:val="Tlotextu"/>
    <w:qFormat/>
    <w:pPr>
      <w:suppressAutoHyphens w:val="true"/>
      <w:spacing w:before="62" w:after="120"/>
      <w:jc w:val="both"/>
    </w:pPr>
    <w:rPr>
      <w:sz w:val="22"/>
      <w:szCs w:val="22"/>
    </w:rPr>
  </w:style>
  <w:style w:type="paragraph" w:styleId="Odstavec">
    <w:name w:val="Odstavec"/>
    <w:basedOn w:val="Tlotextu"/>
    <w:qFormat/>
    <w:pPr>
      <w:tabs>
        <w:tab w:val="clear" w:pos="709"/>
        <w:tab w:val="left" w:pos="567" w:leader="none"/>
      </w:tabs>
      <w:suppressAutoHyphens w:val="true"/>
      <w:spacing w:before="0" w:after="120"/>
      <w:jc w:val="both"/>
    </w:pPr>
    <w:rPr>
      <w:sz w:val="22"/>
      <w:szCs w:val="22"/>
    </w:rPr>
  </w:style>
  <w:style w:type="paragraph" w:styleId="Obsahtabulky">
    <w:name w:val="Obsah tabulky"/>
    <w:basedOn w:val="Normal"/>
    <w:qFormat/>
    <w:pPr>
      <w:widowControl w:val="false"/>
      <w:suppressLineNumbers/>
      <w:suppressAutoHyphens w:val="true"/>
    </w:pPr>
    <w:rPr/>
  </w:style>
  <w:style w:type="paragraph" w:styleId="PodpisovePole">
    <w:name w:val="PodpisovePole"/>
    <w:basedOn w:val="Obsahtabulky"/>
    <w:qFormat/>
    <w:pPr>
      <w:suppressAutoHyphens w:val="true"/>
      <w:jc w:val="center"/>
    </w:pPr>
    <w:rPr>
      <w:rFonts w:ascii="Arial" w:hAnsi="Arial" w:eastAsia="Arial" w:cs="Arial"/>
      <w:sz w:val="22"/>
      <w:szCs w:val="22"/>
    </w:rPr>
  </w:style>
  <w:style w:type="paragraph" w:styleId="Poznmkapodarou">
    <w:name w:val="Footnote Text"/>
    <w:basedOn w:val="Normal"/>
    <w:pPr>
      <w:suppressLineNumbers/>
      <w:tabs>
        <w:tab w:val="clear" w:pos="709"/>
      </w:tabs>
      <w:suppressAutoHyphens w:val="true"/>
      <w:ind w:left="170" w:hanging="170"/>
    </w:pPr>
    <w:rPr>
      <w:rFonts w:ascii="Arial" w:hAnsi="Arial" w:eastAsia="Arial"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TotalTime>
  <Application>LibreOffice/7.3.0.3$Windows_X86_64 LibreOffice_project/0f246aa12d0eee4a0f7adcefbf7c878fc2238db3</Application>
  <AppVersion>15.0000</AppVersion>
  <Pages>3</Pages>
  <Words>470</Words>
  <Characters>2777</Characters>
  <CharactersWithSpaces>3241</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2023-11-08T21:17:00Z</dcterms:created>
  <dc:creator>Vodrážková Radka, Mgr. Bc.</dc:creator>
  <dc:description/>
  <dc:language>cs-CZ</dc:language>
  <cp:lastModifiedBy>Jana Valnohová</cp:lastModifiedBy>
  <dcterms:modified xsi:type="dcterms:W3CDTF">2023-11-10T11:21:00Z</dcterms:modified>
  <cp:revision>5</cp:revision>
  <dc:subject/>
  <dc:title/>
</cp:coreProperties>
</file>