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22849" w14:textId="1EF77CAB" w:rsidR="00726B2B" w:rsidRPr="00681CA9" w:rsidRDefault="00726B2B" w:rsidP="00681CA9">
      <w:pPr>
        <w:jc w:val="center"/>
        <w:rPr>
          <w:rFonts w:ascii="Arial" w:hAnsi="Arial" w:cs="Arial"/>
          <w:b/>
          <w:bCs/>
        </w:rPr>
      </w:pPr>
      <w:r w:rsidRPr="00681CA9">
        <w:rPr>
          <w:rFonts w:ascii="Arial" w:hAnsi="Arial" w:cs="Arial"/>
          <w:b/>
          <w:bCs/>
        </w:rPr>
        <w:t xml:space="preserve">Město </w:t>
      </w:r>
      <w:r w:rsidR="00681CA9">
        <w:rPr>
          <w:rFonts w:ascii="Arial" w:hAnsi="Arial" w:cs="Arial"/>
          <w:b/>
          <w:bCs/>
        </w:rPr>
        <w:t>Šternberk</w:t>
      </w:r>
    </w:p>
    <w:p w14:paraId="23305CC7" w14:textId="6DC17A3D" w:rsidR="00726B2B" w:rsidRPr="00681CA9" w:rsidRDefault="00726B2B" w:rsidP="00681CA9">
      <w:pPr>
        <w:jc w:val="center"/>
        <w:rPr>
          <w:rFonts w:ascii="Arial" w:hAnsi="Arial" w:cs="Arial"/>
          <w:b/>
          <w:bCs/>
        </w:rPr>
      </w:pPr>
      <w:r w:rsidRPr="00681CA9">
        <w:rPr>
          <w:rFonts w:ascii="Arial" w:hAnsi="Arial" w:cs="Arial"/>
          <w:b/>
          <w:bCs/>
        </w:rPr>
        <w:t xml:space="preserve">Zastupitelstvo města </w:t>
      </w:r>
      <w:r w:rsidR="00681CA9">
        <w:rPr>
          <w:rFonts w:ascii="Arial" w:hAnsi="Arial" w:cs="Arial"/>
          <w:b/>
          <w:bCs/>
        </w:rPr>
        <w:t>Šternberka</w:t>
      </w:r>
    </w:p>
    <w:p w14:paraId="1163F345" w14:textId="29D51E73" w:rsidR="00726B2B" w:rsidRPr="00681CA9" w:rsidRDefault="00726B2B" w:rsidP="00681CA9">
      <w:pPr>
        <w:jc w:val="center"/>
        <w:rPr>
          <w:rFonts w:ascii="Arial" w:hAnsi="Arial" w:cs="Arial"/>
          <w:b/>
          <w:bCs/>
        </w:rPr>
      </w:pPr>
      <w:r w:rsidRPr="00681CA9">
        <w:rPr>
          <w:rFonts w:ascii="Arial" w:hAnsi="Arial" w:cs="Arial"/>
          <w:b/>
          <w:bCs/>
        </w:rPr>
        <w:t>Obecně závazná vyhláška</w:t>
      </w:r>
      <w:r w:rsidR="00681CA9">
        <w:rPr>
          <w:rFonts w:ascii="Arial" w:hAnsi="Arial" w:cs="Arial"/>
          <w:b/>
          <w:bCs/>
        </w:rPr>
        <w:t xml:space="preserve"> města Šternberka</w:t>
      </w:r>
    </w:p>
    <w:p w14:paraId="427861A7" w14:textId="77777777" w:rsidR="00726B2B" w:rsidRPr="00681CA9" w:rsidRDefault="00726B2B" w:rsidP="00681CA9">
      <w:pPr>
        <w:jc w:val="center"/>
        <w:rPr>
          <w:rFonts w:ascii="Arial" w:hAnsi="Arial" w:cs="Arial"/>
          <w:b/>
          <w:bCs/>
        </w:rPr>
      </w:pPr>
      <w:r w:rsidRPr="00681CA9">
        <w:rPr>
          <w:rFonts w:ascii="Arial" w:hAnsi="Arial" w:cs="Arial"/>
          <w:b/>
          <w:bCs/>
        </w:rPr>
        <w:t>o regulaci provozování hazardních her</w:t>
      </w:r>
    </w:p>
    <w:p w14:paraId="1F47175D" w14:textId="0AE5B6DC" w:rsidR="00726B2B" w:rsidRPr="00726B2B" w:rsidRDefault="00726B2B" w:rsidP="00681CA9">
      <w:pPr>
        <w:jc w:val="both"/>
        <w:rPr>
          <w:rFonts w:ascii="Arial" w:hAnsi="Arial" w:cs="Arial"/>
        </w:rPr>
      </w:pPr>
      <w:r w:rsidRPr="00726B2B">
        <w:rPr>
          <w:rFonts w:ascii="Arial" w:hAnsi="Arial" w:cs="Arial"/>
        </w:rPr>
        <w:t xml:space="preserve">Zastupitelstvo města </w:t>
      </w:r>
      <w:r w:rsidR="00681CA9">
        <w:rPr>
          <w:rFonts w:ascii="Arial" w:hAnsi="Arial" w:cs="Arial"/>
        </w:rPr>
        <w:t>Šternberka</w:t>
      </w:r>
      <w:r w:rsidRPr="00726B2B">
        <w:rPr>
          <w:rFonts w:ascii="Arial" w:hAnsi="Arial" w:cs="Arial"/>
        </w:rPr>
        <w:t xml:space="preserve"> se na svém zasedání </w:t>
      </w:r>
      <w:r w:rsidR="00F64D3F">
        <w:rPr>
          <w:rFonts w:ascii="Arial" w:hAnsi="Arial" w:cs="Arial"/>
        </w:rPr>
        <w:t>25. září 2024</w:t>
      </w:r>
      <w:r w:rsidRPr="00726B2B">
        <w:rPr>
          <w:rFonts w:ascii="Arial" w:hAnsi="Arial" w:cs="Arial"/>
        </w:rPr>
        <w:t xml:space="preserve"> usneslo vydat na základě ustanovení § 12 odst. 1 zákona č. 186/2016 Sb., o hazardních hrách, ve znění pozdějších předpisů, (dále jen „zákon o hazardních hrách“)</w:t>
      </w:r>
      <w:r w:rsidR="00DC3BD1">
        <w:rPr>
          <w:rFonts w:ascii="Arial" w:hAnsi="Arial" w:cs="Arial"/>
        </w:rPr>
        <w:t>,</w:t>
      </w:r>
      <w:r w:rsidRPr="00726B2B">
        <w:rPr>
          <w:rFonts w:ascii="Arial" w:hAnsi="Arial" w:cs="Arial"/>
        </w:rPr>
        <w:t xml:space="preserve"> a v souladu s ustanoveními § 10 písm. a) a d) a § 84 odst. 2 písm. h) zákona č. 128/2000 Sb., o obcích (obecní zřízení), ve znění pozdějších předpisů, tuto obecně závaznou vyhlášku (dále jen „vyhláška“):</w:t>
      </w:r>
    </w:p>
    <w:p w14:paraId="05582082" w14:textId="77777777" w:rsidR="00726B2B" w:rsidRPr="00681CA9" w:rsidRDefault="00726B2B" w:rsidP="00681CA9">
      <w:pPr>
        <w:jc w:val="center"/>
        <w:rPr>
          <w:rFonts w:ascii="Arial" w:hAnsi="Arial" w:cs="Arial"/>
          <w:b/>
          <w:bCs/>
        </w:rPr>
      </w:pPr>
      <w:r w:rsidRPr="00681CA9">
        <w:rPr>
          <w:rFonts w:ascii="Arial" w:hAnsi="Arial" w:cs="Arial"/>
          <w:b/>
          <w:bCs/>
        </w:rPr>
        <w:t>Preambule</w:t>
      </w:r>
    </w:p>
    <w:p w14:paraId="5D52AE83" w14:textId="096D5FC5" w:rsidR="00726B2B" w:rsidRDefault="00726B2B" w:rsidP="001D3F26">
      <w:pPr>
        <w:pStyle w:val="Odstavecseseznamem"/>
        <w:numPr>
          <w:ilvl w:val="0"/>
          <w:numId w:val="9"/>
        </w:numPr>
        <w:spacing w:before="120" w:after="0"/>
        <w:ind w:left="426" w:hanging="426"/>
        <w:contextualSpacing w:val="0"/>
        <w:jc w:val="both"/>
        <w:rPr>
          <w:rFonts w:ascii="Arial" w:hAnsi="Arial" w:cs="Arial"/>
        </w:rPr>
      </w:pPr>
      <w:r w:rsidRPr="00681CA9">
        <w:rPr>
          <w:rFonts w:ascii="Arial" w:hAnsi="Arial" w:cs="Arial"/>
        </w:rPr>
        <w:t xml:space="preserve">Město </w:t>
      </w:r>
      <w:r w:rsidR="00681CA9" w:rsidRPr="00681CA9">
        <w:rPr>
          <w:rFonts w:ascii="Arial" w:hAnsi="Arial" w:cs="Arial"/>
        </w:rPr>
        <w:t>Šternberk</w:t>
      </w:r>
      <w:r w:rsidRPr="00681CA9">
        <w:rPr>
          <w:rFonts w:ascii="Arial" w:hAnsi="Arial" w:cs="Arial"/>
        </w:rPr>
        <w:t xml:space="preserve"> (dále jen „město“) uznává společenskou a zábavní funkci hazardních her (dále jen „hazard“), ale je si zároveň vědomo negativních jevů spojených s provozováním hazardu. Město dále zohledňuje, že úplný zákaz provozování hazardu na jeho území není v současné době možný vzhledem k platné legislativě. Dále si je město vědomo zkušeností z jiných měst (např. Praha, Liberec), že úplný zákaz provozování hazardu by představoval reálné riziko vzniku nelegálních provozoven hazardu, které </w:t>
      </w:r>
      <w:r w:rsidR="00E41040">
        <w:rPr>
          <w:rFonts w:ascii="Arial" w:hAnsi="Arial" w:cs="Arial"/>
        </w:rPr>
        <w:t>znamenají</w:t>
      </w:r>
      <w:r w:rsidRPr="00681CA9">
        <w:rPr>
          <w:rFonts w:ascii="Arial" w:hAnsi="Arial" w:cs="Arial"/>
        </w:rPr>
        <w:t xml:space="preserve"> závažné a nekontrolovatelné riziko pro město. Na základě uvedených úvah se město rozhodlo, že provozování hazardu na svém území umožní v regulované formě a míře.</w:t>
      </w:r>
    </w:p>
    <w:p w14:paraId="6B785007" w14:textId="7FA0BE1C" w:rsidR="00726B2B" w:rsidRDefault="00726B2B" w:rsidP="001D3F26">
      <w:pPr>
        <w:pStyle w:val="Odstavecseseznamem"/>
        <w:numPr>
          <w:ilvl w:val="0"/>
          <w:numId w:val="9"/>
        </w:numPr>
        <w:spacing w:before="120" w:after="0"/>
        <w:ind w:left="426" w:hanging="426"/>
        <w:contextualSpacing w:val="0"/>
        <w:jc w:val="both"/>
        <w:rPr>
          <w:rFonts w:ascii="Arial" w:hAnsi="Arial" w:cs="Arial"/>
        </w:rPr>
      </w:pPr>
      <w:r w:rsidRPr="00681CA9">
        <w:rPr>
          <w:rFonts w:ascii="Arial" w:hAnsi="Arial" w:cs="Arial"/>
        </w:rPr>
        <w:t>Město si je plně vědomo, že zvolený způsob regulace provozování hazardu na území města musí být založen na obecných nediskriminačních zásadách a musí být rovněž v souladu se zásadami hospodářské soutěže, jak byly formulovány ve stanovisku Úřadu pro ochranu hospodářské soutěže (dále jen „ÚOHS“) k regulaci provozu loterií a jiných podobných her ze dne 01.</w:t>
      </w:r>
      <w:r w:rsidR="00DC3BD1">
        <w:rPr>
          <w:rFonts w:ascii="Arial" w:hAnsi="Arial" w:cs="Arial"/>
        </w:rPr>
        <w:t xml:space="preserve"> září </w:t>
      </w:r>
      <w:r w:rsidRPr="00681CA9">
        <w:rPr>
          <w:rFonts w:ascii="Arial" w:hAnsi="Arial" w:cs="Arial"/>
        </w:rPr>
        <w:t>2014 a v právním výkladu Ministerstva vnitra ČR k obecně závazným vyhláškám regulujícím provozování některých sázkových her, loterií a jiných podobných her na území obce ze dne 21.</w:t>
      </w:r>
      <w:r w:rsidR="00DC3BD1">
        <w:rPr>
          <w:rFonts w:ascii="Arial" w:hAnsi="Arial" w:cs="Arial"/>
        </w:rPr>
        <w:t xml:space="preserve"> dubna </w:t>
      </w:r>
      <w:r w:rsidRPr="00681CA9">
        <w:rPr>
          <w:rFonts w:ascii="Arial" w:hAnsi="Arial" w:cs="Arial"/>
        </w:rPr>
        <w:t>2015. Dále jsou proto stanovena pravidla, která naplňují princip proporcionality, tedy že zvolená míra regulace je přiměřená konkrétním místním podmínkám, nepůsobí diskriminačně</w:t>
      </w:r>
      <w:r w:rsidR="00E42E24">
        <w:rPr>
          <w:rFonts w:ascii="Arial" w:hAnsi="Arial" w:cs="Arial"/>
        </w:rPr>
        <w:t>,</w:t>
      </w:r>
      <w:r w:rsidRPr="00681CA9">
        <w:rPr>
          <w:rFonts w:ascii="Arial" w:hAnsi="Arial" w:cs="Arial"/>
        </w:rPr>
        <w:t xml:space="preserve"> a tedy ani nenarušuje hospodářskou soutěž více, než je nezbytné k dosažení účelu vyhlášky.</w:t>
      </w:r>
    </w:p>
    <w:p w14:paraId="1B30E79C" w14:textId="3B0A6D93" w:rsidR="00BE436A" w:rsidRPr="00E21F3B" w:rsidRDefault="00726B2B" w:rsidP="00E21F3B">
      <w:pPr>
        <w:pStyle w:val="Odstavecseseznamem"/>
        <w:numPr>
          <w:ilvl w:val="0"/>
          <w:numId w:val="9"/>
        </w:numPr>
        <w:spacing w:before="120" w:after="0"/>
        <w:ind w:left="426" w:hanging="426"/>
        <w:contextualSpacing w:val="0"/>
        <w:jc w:val="both"/>
        <w:rPr>
          <w:rFonts w:ascii="Arial" w:hAnsi="Arial" w:cs="Arial"/>
        </w:rPr>
      </w:pPr>
      <w:r w:rsidRPr="00681CA9">
        <w:rPr>
          <w:rFonts w:ascii="Arial" w:hAnsi="Arial" w:cs="Arial"/>
        </w:rPr>
        <w:t xml:space="preserve">Vyhláška vychází z předpokladu, že stanovením počtu míst, v nichž mohou být provozovny hazardu umístěny, nedochází k narušení hospodářské soutěže pro provozovatele provozoven, v nichž může být hazard povolen. Vyhláška nestanoví, kteří konkrétní provozovatelé hazardu mohou na území města hazard provozovat. Vyhláška je tak ve vztahu k provozovatelům hazardu neutrální a nediskriminační. Jednotliví provozovatelé hazardu mají i nadále možnost žádat o umístění a provozování hazardu na místech, která splňují podmínky dané touto vyhláškou. </w:t>
      </w:r>
      <w:r w:rsidR="00BE436A" w:rsidRPr="00E21F3B">
        <w:rPr>
          <w:rFonts w:ascii="Arial" w:hAnsi="Arial" w:cs="Arial"/>
          <w:color w:val="000000"/>
          <w:kern w:val="0"/>
        </w:rPr>
        <w:t>Město deklaruje, že noví zájemci o provozování hazardu na jeho území mohou Zastupitelstvu města Š</w:t>
      </w:r>
      <w:r w:rsidR="00E21F3B">
        <w:rPr>
          <w:rFonts w:ascii="Arial" w:hAnsi="Arial" w:cs="Arial"/>
          <w:color w:val="000000"/>
          <w:kern w:val="0"/>
        </w:rPr>
        <w:t xml:space="preserve">ternberka </w:t>
      </w:r>
      <w:r w:rsidR="00BE436A" w:rsidRPr="00E21F3B">
        <w:rPr>
          <w:rFonts w:ascii="Arial" w:hAnsi="Arial" w:cs="Arial"/>
          <w:color w:val="000000"/>
          <w:kern w:val="0"/>
        </w:rPr>
        <w:t>každoročně do 31.</w:t>
      </w:r>
      <w:r w:rsidR="00DC3BD1">
        <w:rPr>
          <w:rFonts w:ascii="Arial" w:hAnsi="Arial" w:cs="Arial"/>
          <w:color w:val="000000"/>
          <w:kern w:val="0"/>
        </w:rPr>
        <w:t xml:space="preserve"> března</w:t>
      </w:r>
      <w:r w:rsidR="00BE436A" w:rsidRPr="00E21F3B">
        <w:rPr>
          <w:rFonts w:ascii="Arial" w:hAnsi="Arial" w:cs="Arial"/>
          <w:color w:val="000000"/>
          <w:kern w:val="0"/>
        </w:rPr>
        <w:t xml:space="preserve"> daného roku předkládat návrhy na zařazení jejich provozoven do adresného seznamu, a to</w:t>
      </w:r>
      <w:r w:rsidR="00E21F3B">
        <w:rPr>
          <w:rFonts w:ascii="Arial" w:hAnsi="Arial" w:cs="Arial"/>
          <w:color w:val="000000"/>
          <w:kern w:val="0"/>
        </w:rPr>
        <w:t xml:space="preserve"> </w:t>
      </w:r>
      <w:r w:rsidR="00BE436A" w:rsidRPr="00E21F3B">
        <w:rPr>
          <w:rFonts w:ascii="Arial" w:hAnsi="Arial" w:cs="Arial"/>
          <w:color w:val="000000"/>
          <w:kern w:val="0"/>
        </w:rPr>
        <w:t>spolu s odůvodněním, proč konkrétní provozovna odpovídá městem stanoveným kritériím.</w:t>
      </w:r>
      <w:r w:rsidR="00E21F3B">
        <w:rPr>
          <w:rFonts w:ascii="Arial" w:hAnsi="Arial" w:cs="Arial"/>
          <w:color w:val="000000"/>
          <w:kern w:val="0"/>
        </w:rPr>
        <w:t xml:space="preserve"> </w:t>
      </w:r>
      <w:r w:rsidR="00E21F3B" w:rsidRPr="00681CA9">
        <w:rPr>
          <w:rFonts w:ascii="Arial" w:hAnsi="Arial" w:cs="Arial"/>
        </w:rPr>
        <w:t>Tím dochází k zachování konkurenčního prostředí umožňujícího též vstup nových soutěžitelů. Tento postup je plně v souladu se závěry Ústavního soudu ČR ve věci Pl. ÚS 56/10 (město Františkovy Lázně).</w:t>
      </w:r>
    </w:p>
    <w:p w14:paraId="7751E385" w14:textId="6749C82F" w:rsidR="00726B2B" w:rsidRPr="00681CA9" w:rsidRDefault="00726B2B" w:rsidP="001D3F26">
      <w:pPr>
        <w:pStyle w:val="Odstavecseseznamem"/>
        <w:numPr>
          <w:ilvl w:val="0"/>
          <w:numId w:val="9"/>
        </w:numPr>
        <w:spacing w:before="120" w:after="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681CA9">
        <w:rPr>
          <w:rFonts w:ascii="Arial" w:hAnsi="Arial" w:cs="Arial"/>
        </w:rPr>
        <w:t>Při stanovení pravidel pro regulaci hazardu na území města se město řídí následujícími kritérii:</w:t>
      </w:r>
    </w:p>
    <w:p w14:paraId="4B4D699B" w14:textId="77777777" w:rsidR="00E21F3B" w:rsidRDefault="00726B2B" w:rsidP="00E21F3B">
      <w:pPr>
        <w:pStyle w:val="Odstavecseseznamem"/>
        <w:numPr>
          <w:ilvl w:val="0"/>
          <w:numId w:val="1"/>
        </w:numPr>
        <w:spacing w:before="120" w:after="0" w:line="240" w:lineRule="auto"/>
        <w:ind w:hanging="294"/>
        <w:contextualSpacing w:val="0"/>
        <w:jc w:val="both"/>
        <w:rPr>
          <w:rFonts w:ascii="Arial" w:hAnsi="Arial" w:cs="Arial"/>
        </w:rPr>
      </w:pPr>
      <w:r w:rsidRPr="00E21F3B">
        <w:rPr>
          <w:rFonts w:ascii="Arial" w:hAnsi="Arial" w:cs="Arial"/>
          <w:b/>
          <w:bCs/>
        </w:rPr>
        <w:t>Počet míst (provozoven)</w:t>
      </w:r>
      <w:r w:rsidR="00681CA9">
        <w:rPr>
          <w:rFonts w:ascii="Arial" w:hAnsi="Arial" w:cs="Arial"/>
        </w:rPr>
        <w:t xml:space="preserve"> </w:t>
      </w:r>
    </w:p>
    <w:p w14:paraId="21B3CA0D" w14:textId="3D88F1DF" w:rsidR="0050471A" w:rsidRPr="0050471A" w:rsidRDefault="00726B2B" w:rsidP="0050471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kern w:val="0"/>
        </w:rPr>
      </w:pPr>
      <w:r w:rsidRPr="00681CA9">
        <w:rPr>
          <w:rFonts w:ascii="Arial" w:hAnsi="Arial" w:cs="Arial"/>
        </w:rPr>
        <w:t xml:space="preserve">Počet míst, v nichž může být hazard provozován, je stanoven na </w:t>
      </w:r>
      <w:r w:rsidR="00F64D3F">
        <w:rPr>
          <w:rFonts w:ascii="Arial" w:hAnsi="Arial" w:cs="Arial"/>
        </w:rPr>
        <w:t>3</w:t>
      </w:r>
      <w:r w:rsidRPr="00681CA9">
        <w:rPr>
          <w:rFonts w:ascii="Arial" w:hAnsi="Arial" w:cs="Arial"/>
        </w:rPr>
        <w:t xml:space="preserve"> provozov</w:t>
      </w:r>
      <w:r w:rsidR="00F64D3F">
        <w:rPr>
          <w:rFonts w:ascii="Arial" w:hAnsi="Arial" w:cs="Arial"/>
        </w:rPr>
        <w:t>ny</w:t>
      </w:r>
      <w:r w:rsidRPr="00681CA9">
        <w:rPr>
          <w:rFonts w:ascii="Arial" w:hAnsi="Arial" w:cs="Arial"/>
        </w:rPr>
        <w:t xml:space="preserve">. Dle přesvědčení města jde o maximální možný počet, který je pro město, s ohledem na </w:t>
      </w:r>
      <w:r w:rsidRPr="00681CA9">
        <w:rPr>
          <w:rFonts w:ascii="Arial" w:hAnsi="Arial" w:cs="Arial"/>
        </w:rPr>
        <w:lastRenderedPageBreak/>
        <w:t>veřejný pořádek, dobré mravy a možné negativní sociální dopady na území města, udržitelný. Při stanovení tohoto kritéria se vychází z celkového počtu obyvatel města. Tento názor se objevil i v prvním návrhu zákona o hazardních hrách (§ 57), který povoloval jednu provozovnu na každ</w:t>
      </w:r>
      <w:r w:rsidR="00E41040">
        <w:rPr>
          <w:rFonts w:ascii="Arial" w:hAnsi="Arial" w:cs="Arial"/>
        </w:rPr>
        <w:t>é</w:t>
      </w:r>
      <w:r w:rsidRPr="00681CA9">
        <w:rPr>
          <w:rFonts w:ascii="Arial" w:hAnsi="Arial" w:cs="Arial"/>
        </w:rPr>
        <w:t xml:space="preserve"> 4.000 obyvatel obce. Město se rozhodlo, s přihlédnutím k současné situaci a místním poměrům ve městě, pro povolení 1 provozovny hazardních her na 4.000 obyvatel rozmístěn</w:t>
      </w:r>
      <w:r w:rsidR="00E41040">
        <w:rPr>
          <w:rFonts w:ascii="Arial" w:hAnsi="Arial" w:cs="Arial"/>
        </w:rPr>
        <w:t>é</w:t>
      </w:r>
      <w:r w:rsidRPr="00681CA9">
        <w:rPr>
          <w:rFonts w:ascii="Arial" w:hAnsi="Arial" w:cs="Arial"/>
        </w:rPr>
        <w:t xml:space="preserve"> na území města mimo vyloučené lokality, viz bod b) tohoto odstavce. Tímto způsobem bude povoleno umístění max. </w:t>
      </w:r>
      <w:r w:rsidR="00F64D3F">
        <w:rPr>
          <w:rFonts w:ascii="Arial" w:hAnsi="Arial" w:cs="Arial"/>
        </w:rPr>
        <w:t>3</w:t>
      </w:r>
      <w:r w:rsidRPr="00681CA9">
        <w:rPr>
          <w:rFonts w:ascii="Arial" w:hAnsi="Arial" w:cs="Arial"/>
        </w:rPr>
        <w:t xml:space="preserve"> provozoven.</w:t>
      </w:r>
      <w:r w:rsidR="0050471A">
        <w:rPr>
          <w:rFonts w:ascii="Arial" w:hAnsi="Arial" w:cs="Arial"/>
        </w:rPr>
        <w:t xml:space="preserve"> </w:t>
      </w:r>
      <w:r w:rsidR="0050471A" w:rsidRPr="0050471A">
        <w:rPr>
          <w:rFonts w:ascii="Arial" w:hAnsi="Arial" w:cs="Arial"/>
          <w:kern w:val="0"/>
        </w:rPr>
        <w:t>Na základě výše uvedených kritériích město dospělo k závěru, že v historickém centru města bud</w:t>
      </w:r>
      <w:r w:rsidR="00E4478B">
        <w:rPr>
          <w:rFonts w:ascii="Arial" w:hAnsi="Arial" w:cs="Arial"/>
          <w:kern w:val="0"/>
        </w:rPr>
        <w:t>e</w:t>
      </w:r>
      <w:r w:rsidR="0050471A" w:rsidRPr="0050471A">
        <w:rPr>
          <w:rFonts w:ascii="Arial" w:hAnsi="Arial" w:cs="Arial"/>
          <w:kern w:val="0"/>
        </w:rPr>
        <w:t xml:space="preserve"> umístěna max. 1 provozovna. Při určování této lokality město vzalo v potaz relativní klidnost této lokality</w:t>
      </w:r>
      <w:r w:rsidR="00F64D3F">
        <w:rPr>
          <w:rFonts w:ascii="Arial" w:hAnsi="Arial" w:cs="Arial"/>
          <w:kern w:val="0"/>
        </w:rPr>
        <w:t>,</w:t>
      </w:r>
      <w:r w:rsidR="0050471A" w:rsidRPr="0050471A">
        <w:rPr>
          <w:rFonts w:ascii="Arial" w:hAnsi="Arial" w:cs="Arial"/>
          <w:kern w:val="0"/>
        </w:rPr>
        <w:t xml:space="preserve"> a především také charakter městské památkové zóny. Na ostatním území města (mimo vyloučené lokality uvedené v bodě </w:t>
      </w:r>
      <w:r w:rsidR="0050471A">
        <w:rPr>
          <w:rFonts w:ascii="Arial" w:hAnsi="Arial" w:cs="Arial"/>
          <w:kern w:val="0"/>
        </w:rPr>
        <w:t>b</w:t>
      </w:r>
      <w:r w:rsidR="0050471A" w:rsidRPr="0050471A">
        <w:rPr>
          <w:rFonts w:ascii="Arial" w:hAnsi="Arial" w:cs="Arial"/>
          <w:kern w:val="0"/>
        </w:rPr>
        <w:t>) bud</w:t>
      </w:r>
      <w:r w:rsidR="00F64D3F">
        <w:rPr>
          <w:rFonts w:ascii="Arial" w:hAnsi="Arial" w:cs="Arial"/>
          <w:kern w:val="0"/>
        </w:rPr>
        <w:t>ou</w:t>
      </w:r>
      <w:r w:rsidR="0050471A" w:rsidRPr="0050471A">
        <w:rPr>
          <w:rFonts w:ascii="Arial" w:hAnsi="Arial" w:cs="Arial"/>
          <w:kern w:val="0"/>
        </w:rPr>
        <w:t xml:space="preserve"> umístěn</w:t>
      </w:r>
      <w:r w:rsidR="00F64D3F">
        <w:rPr>
          <w:rFonts w:ascii="Arial" w:hAnsi="Arial" w:cs="Arial"/>
          <w:kern w:val="0"/>
        </w:rPr>
        <w:t>y</w:t>
      </w:r>
      <w:r w:rsidR="0050471A" w:rsidRPr="0050471A">
        <w:rPr>
          <w:rFonts w:ascii="Arial" w:hAnsi="Arial" w:cs="Arial"/>
          <w:kern w:val="0"/>
        </w:rPr>
        <w:t xml:space="preserve"> max. </w:t>
      </w:r>
      <w:r w:rsidR="00F64D3F">
        <w:rPr>
          <w:rFonts w:ascii="Arial" w:hAnsi="Arial" w:cs="Arial"/>
          <w:kern w:val="0"/>
        </w:rPr>
        <w:t>2</w:t>
      </w:r>
      <w:r w:rsidR="0050471A" w:rsidRPr="0050471A">
        <w:rPr>
          <w:rFonts w:ascii="Arial" w:hAnsi="Arial" w:cs="Arial"/>
          <w:kern w:val="0"/>
        </w:rPr>
        <w:t xml:space="preserve"> provozov</w:t>
      </w:r>
      <w:r w:rsidR="00F64D3F">
        <w:rPr>
          <w:rFonts w:ascii="Arial" w:hAnsi="Arial" w:cs="Arial"/>
          <w:kern w:val="0"/>
        </w:rPr>
        <w:t>ny</w:t>
      </w:r>
      <w:r w:rsidR="0050471A" w:rsidRPr="0050471A">
        <w:rPr>
          <w:rFonts w:ascii="Arial" w:hAnsi="Arial" w:cs="Arial"/>
          <w:kern w:val="0"/>
        </w:rPr>
        <w:t>. Město si zakládá na rovnoměrném rozmístění provozoven hazardu, aby</w:t>
      </w:r>
      <w:r w:rsidR="0050471A">
        <w:rPr>
          <w:rFonts w:ascii="Arial" w:hAnsi="Arial" w:cs="Arial"/>
          <w:kern w:val="0"/>
        </w:rPr>
        <w:t xml:space="preserve"> </w:t>
      </w:r>
      <w:r w:rsidR="0050471A" w:rsidRPr="0050471A">
        <w:rPr>
          <w:rFonts w:ascii="Arial" w:hAnsi="Arial" w:cs="Arial"/>
          <w:kern w:val="0"/>
        </w:rPr>
        <w:t>se případné negativní dopady spojené s provozováním hazardních her nekumulovaly na jednom místě.</w:t>
      </w:r>
    </w:p>
    <w:p w14:paraId="33052476" w14:textId="77777777" w:rsidR="0050471A" w:rsidRDefault="00726B2B" w:rsidP="00E21F3B">
      <w:pPr>
        <w:pStyle w:val="Odstavecseseznamem"/>
        <w:numPr>
          <w:ilvl w:val="0"/>
          <w:numId w:val="1"/>
        </w:numPr>
        <w:spacing w:before="120" w:after="0" w:line="240" w:lineRule="auto"/>
        <w:ind w:hanging="294"/>
        <w:contextualSpacing w:val="0"/>
        <w:jc w:val="both"/>
        <w:rPr>
          <w:rFonts w:ascii="Arial" w:hAnsi="Arial" w:cs="Arial"/>
        </w:rPr>
      </w:pPr>
      <w:r w:rsidRPr="0050471A">
        <w:rPr>
          <w:rFonts w:ascii="Arial" w:hAnsi="Arial" w:cs="Arial"/>
          <w:b/>
          <w:bCs/>
        </w:rPr>
        <w:t>Vyloučené lokality</w:t>
      </w:r>
      <w:r w:rsidR="00681CA9">
        <w:rPr>
          <w:rFonts w:ascii="Arial" w:hAnsi="Arial" w:cs="Arial"/>
        </w:rPr>
        <w:t xml:space="preserve"> </w:t>
      </w:r>
    </w:p>
    <w:p w14:paraId="0012E312" w14:textId="60944418" w:rsidR="00726B2B" w:rsidRPr="00681CA9" w:rsidRDefault="00726B2B" w:rsidP="0050471A">
      <w:pPr>
        <w:pStyle w:val="Odstavecseseznamem"/>
        <w:spacing w:after="0" w:line="240" w:lineRule="auto"/>
        <w:contextualSpacing w:val="0"/>
        <w:jc w:val="both"/>
        <w:rPr>
          <w:rFonts w:ascii="Arial" w:hAnsi="Arial" w:cs="Arial"/>
        </w:rPr>
      </w:pPr>
      <w:r w:rsidRPr="00681CA9">
        <w:rPr>
          <w:rFonts w:ascii="Arial" w:hAnsi="Arial" w:cs="Arial"/>
        </w:rPr>
        <w:t>V zájmu zachování místního charakteru určitých částí města nejsou provozovny hazardu žádoucí v těch lokalitách, kde hrozí rozpor se zachováním kvality veřejného života a kde by přítomnost provozovny hazardu byla rušícím elementem, např. v klidných rezidenčních lokalitách, v blízkosti sportovišť, v místech zvýšeného výskytu mládeže, v turisticky atraktivních lokalitách apod.</w:t>
      </w:r>
    </w:p>
    <w:p w14:paraId="6F9DDB37" w14:textId="77777777" w:rsidR="00726B2B" w:rsidRPr="00726B2B" w:rsidRDefault="00726B2B" w:rsidP="001D3F26">
      <w:pPr>
        <w:spacing w:before="120" w:after="0" w:line="240" w:lineRule="auto"/>
        <w:ind w:left="709"/>
        <w:rPr>
          <w:rFonts w:ascii="Arial" w:hAnsi="Arial" w:cs="Arial"/>
        </w:rPr>
      </w:pPr>
      <w:r w:rsidRPr="00726B2B">
        <w:rPr>
          <w:rFonts w:ascii="Arial" w:hAnsi="Arial" w:cs="Arial"/>
        </w:rPr>
        <w:t>Město touto vyhláškou stanovuje tyto vyloučené lokality:</w:t>
      </w:r>
    </w:p>
    <w:p w14:paraId="6A2A45FD" w14:textId="7155222C" w:rsidR="00726B2B" w:rsidRDefault="00B55310" w:rsidP="001D3F26">
      <w:pPr>
        <w:pStyle w:val="Odstavecseseznamem"/>
        <w:numPr>
          <w:ilvl w:val="1"/>
          <w:numId w:val="1"/>
        </w:numPr>
        <w:spacing w:before="120" w:after="0" w:line="240" w:lineRule="auto"/>
        <w:ind w:left="993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Rezidenční a </w:t>
      </w:r>
      <w:r w:rsidR="00726B2B" w:rsidRPr="001D3F26">
        <w:rPr>
          <w:rFonts w:ascii="Arial" w:hAnsi="Arial" w:cs="Arial"/>
        </w:rPr>
        <w:t>rekreační oblast</w:t>
      </w:r>
      <w:r w:rsidR="00C45F12">
        <w:rPr>
          <w:rFonts w:ascii="Arial" w:hAnsi="Arial" w:cs="Arial"/>
        </w:rPr>
        <w:t xml:space="preserve"> ohraničená</w:t>
      </w:r>
      <w:r w:rsidR="00726B2B" w:rsidRPr="001D3F26">
        <w:rPr>
          <w:rFonts w:ascii="Arial" w:hAnsi="Arial" w:cs="Arial"/>
        </w:rPr>
        <w:t xml:space="preserve"> </w:t>
      </w:r>
      <w:r w:rsidR="00E21F3B">
        <w:rPr>
          <w:rFonts w:ascii="Arial" w:hAnsi="Arial" w:cs="Arial"/>
        </w:rPr>
        <w:t>ulic</w:t>
      </w:r>
      <w:r>
        <w:rPr>
          <w:rFonts w:ascii="Arial" w:hAnsi="Arial" w:cs="Arial"/>
        </w:rPr>
        <w:t>emi</w:t>
      </w:r>
      <w:r w:rsidR="00E21F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Olomouck</w:t>
      </w:r>
      <w:r w:rsidR="00E41040">
        <w:rPr>
          <w:rFonts w:ascii="Arial" w:hAnsi="Arial" w:cs="Arial"/>
        </w:rPr>
        <w:t>ou</w:t>
      </w:r>
      <w:r>
        <w:rPr>
          <w:rFonts w:ascii="Arial" w:hAnsi="Arial" w:cs="Arial"/>
        </w:rPr>
        <w:t xml:space="preserve">, </w:t>
      </w:r>
      <w:r w:rsidR="00E21F3B">
        <w:rPr>
          <w:rFonts w:ascii="Arial" w:hAnsi="Arial" w:cs="Arial"/>
        </w:rPr>
        <w:t>Jívavsk</w:t>
      </w:r>
      <w:r w:rsidR="00E41040">
        <w:rPr>
          <w:rFonts w:ascii="Arial" w:hAnsi="Arial" w:cs="Arial"/>
        </w:rPr>
        <w:t>ou</w:t>
      </w:r>
      <w:r w:rsidR="00726B2B" w:rsidRPr="001D3F2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U Vrby, Jabloňov</w:t>
      </w:r>
      <w:r w:rsidR="00E41040">
        <w:rPr>
          <w:rFonts w:ascii="Arial" w:hAnsi="Arial" w:cs="Arial"/>
        </w:rPr>
        <w:t>ou</w:t>
      </w:r>
      <w:r>
        <w:rPr>
          <w:rFonts w:ascii="Arial" w:hAnsi="Arial" w:cs="Arial"/>
        </w:rPr>
        <w:t xml:space="preserve">, </w:t>
      </w:r>
      <w:r w:rsidR="00C45F12">
        <w:rPr>
          <w:rFonts w:ascii="Arial" w:hAnsi="Arial" w:cs="Arial"/>
        </w:rPr>
        <w:t>a U Chytiličky, ve které se nachází sportovní areály (fotbalový stadion, atletický stadion, krytý plavecký bazén) a</w:t>
      </w:r>
      <w:r w:rsidR="00726B2B" w:rsidRPr="001D3F26">
        <w:rPr>
          <w:rFonts w:ascii="Arial" w:hAnsi="Arial" w:cs="Arial"/>
        </w:rPr>
        <w:t xml:space="preserve"> </w:t>
      </w:r>
      <w:r w:rsidR="00C45F12">
        <w:rPr>
          <w:rFonts w:ascii="Arial" w:hAnsi="Arial" w:cs="Arial"/>
        </w:rPr>
        <w:t>d</w:t>
      </w:r>
      <w:r w:rsidR="00726B2B" w:rsidRPr="001D3F26">
        <w:rPr>
          <w:rFonts w:ascii="Arial" w:hAnsi="Arial" w:cs="Arial"/>
        </w:rPr>
        <w:t>ochází zde ke zvýšenému výskytu dětí a mládeže</w:t>
      </w:r>
      <w:r w:rsidR="00C45F12">
        <w:rPr>
          <w:rFonts w:ascii="Arial" w:hAnsi="Arial" w:cs="Arial"/>
        </w:rPr>
        <w:t>.</w:t>
      </w:r>
    </w:p>
    <w:p w14:paraId="4E426547" w14:textId="01181A60" w:rsidR="00B55310" w:rsidRPr="00C45F12" w:rsidRDefault="00C45F12" w:rsidP="00C45F12">
      <w:pPr>
        <w:pStyle w:val="Odstavecseseznamem"/>
        <w:numPr>
          <w:ilvl w:val="1"/>
          <w:numId w:val="1"/>
        </w:numPr>
        <w:spacing w:before="120" w:after="0" w:line="240" w:lineRule="auto"/>
        <w:ind w:left="993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726B2B" w:rsidRPr="001D3F26">
        <w:rPr>
          <w:rFonts w:ascii="Arial" w:hAnsi="Arial" w:cs="Arial"/>
        </w:rPr>
        <w:t>lidn</w:t>
      </w:r>
      <w:r w:rsidR="00B55310">
        <w:rPr>
          <w:rFonts w:ascii="Arial" w:hAnsi="Arial" w:cs="Arial"/>
        </w:rPr>
        <w:t>é</w:t>
      </w:r>
      <w:r w:rsidR="00F64D3F">
        <w:rPr>
          <w:rFonts w:ascii="Arial" w:hAnsi="Arial" w:cs="Arial"/>
        </w:rPr>
        <w:t xml:space="preserve"> </w:t>
      </w:r>
      <w:r w:rsidR="00726B2B" w:rsidRPr="001D3F26">
        <w:rPr>
          <w:rFonts w:ascii="Arial" w:hAnsi="Arial" w:cs="Arial"/>
        </w:rPr>
        <w:t>rezidenční lokalit</w:t>
      </w:r>
      <w:r w:rsidR="00B55310">
        <w:rPr>
          <w:rFonts w:ascii="Arial" w:hAnsi="Arial" w:cs="Arial"/>
        </w:rPr>
        <w:t>y</w:t>
      </w:r>
      <w:r w:rsidR="00F64D3F">
        <w:rPr>
          <w:rFonts w:ascii="Arial" w:hAnsi="Arial" w:cs="Arial"/>
        </w:rPr>
        <w:t xml:space="preserve"> </w:t>
      </w:r>
      <w:r w:rsidR="00B55310" w:rsidRPr="00C45F12">
        <w:rPr>
          <w:rFonts w:ascii="Arial" w:hAnsi="Arial" w:cs="Arial"/>
        </w:rPr>
        <w:t>v severovýchodní části města ohraničen</w:t>
      </w:r>
      <w:r>
        <w:rPr>
          <w:rFonts w:ascii="Arial" w:hAnsi="Arial" w:cs="Arial"/>
        </w:rPr>
        <w:t>é</w:t>
      </w:r>
      <w:r w:rsidR="00B55310" w:rsidRPr="00C45F12">
        <w:rPr>
          <w:rFonts w:ascii="Arial" w:hAnsi="Arial" w:cs="Arial"/>
        </w:rPr>
        <w:t xml:space="preserve"> ulicemi Vinohradsk</w:t>
      </w:r>
      <w:r w:rsidR="00E41040">
        <w:rPr>
          <w:rFonts w:ascii="Arial" w:hAnsi="Arial" w:cs="Arial"/>
        </w:rPr>
        <w:t>ou</w:t>
      </w:r>
      <w:r w:rsidR="00B55310" w:rsidRPr="00C45F12">
        <w:rPr>
          <w:rFonts w:ascii="Arial" w:hAnsi="Arial" w:cs="Arial"/>
        </w:rPr>
        <w:t>, Uničovsk</w:t>
      </w:r>
      <w:r w:rsidR="00E41040">
        <w:rPr>
          <w:rFonts w:ascii="Arial" w:hAnsi="Arial" w:cs="Arial"/>
        </w:rPr>
        <w:t>ou</w:t>
      </w:r>
      <w:r w:rsidR="00B55310" w:rsidRPr="00C45F12">
        <w:rPr>
          <w:rFonts w:ascii="Arial" w:hAnsi="Arial" w:cs="Arial"/>
        </w:rPr>
        <w:t>, Dvorsk</w:t>
      </w:r>
      <w:r w:rsidR="00E41040">
        <w:rPr>
          <w:rFonts w:ascii="Arial" w:hAnsi="Arial" w:cs="Arial"/>
        </w:rPr>
        <w:t>ou</w:t>
      </w:r>
      <w:r w:rsidR="00B55310" w:rsidRPr="00C45F12">
        <w:rPr>
          <w:rFonts w:ascii="Arial" w:hAnsi="Arial" w:cs="Arial"/>
        </w:rPr>
        <w:t>, Opavsk</w:t>
      </w:r>
      <w:r w:rsidR="00E41040">
        <w:rPr>
          <w:rFonts w:ascii="Arial" w:hAnsi="Arial" w:cs="Arial"/>
        </w:rPr>
        <w:t>ou</w:t>
      </w:r>
      <w:r>
        <w:rPr>
          <w:rFonts w:ascii="Arial" w:hAnsi="Arial" w:cs="Arial"/>
        </w:rPr>
        <w:t xml:space="preserve">, </w:t>
      </w:r>
      <w:r w:rsidR="00B55310" w:rsidRPr="00C45F12">
        <w:rPr>
          <w:rFonts w:ascii="Arial" w:hAnsi="Arial" w:cs="Arial"/>
        </w:rPr>
        <w:t>Sadov</w:t>
      </w:r>
      <w:r w:rsidR="00E41040">
        <w:rPr>
          <w:rFonts w:ascii="Arial" w:hAnsi="Arial" w:cs="Arial"/>
        </w:rPr>
        <w:t>ou</w:t>
      </w:r>
      <w:r>
        <w:rPr>
          <w:rFonts w:ascii="Arial" w:hAnsi="Arial" w:cs="Arial"/>
        </w:rPr>
        <w:t xml:space="preserve"> a Svatoplukov</w:t>
      </w:r>
      <w:r w:rsidR="00E41040">
        <w:rPr>
          <w:rFonts w:ascii="Arial" w:hAnsi="Arial" w:cs="Arial"/>
        </w:rPr>
        <w:t>ou</w:t>
      </w:r>
      <w:r>
        <w:rPr>
          <w:rFonts w:ascii="Arial" w:hAnsi="Arial" w:cs="Arial"/>
        </w:rPr>
        <w:t xml:space="preserve"> (městské koupaliště).</w:t>
      </w:r>
    </w:p>
    <w:p w14:paraId="53699515" w14:textId="2CFD16A3" w:rsidR="00726B2B" w:rsidRDefault="00C45F12" w:rsidP="001D3F26">
      <w:pPr>
        <w:pStyle w:val="Odstavecseseznamem"/>
        <w:numPr>
          <w:ilvl w:val="1"/>
          <w:numId w:val="1"/>
        </w:numPr>
        <w:spacing w:before="120" w:after="0" w:line="240" w:lineRule="auto"/>
        <w:ind w:left="993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726B2B" w:rsidRPr="001D3F26">
        <w:rPr>
          <w:rFonts w:ascii="Arial" w:hAnsi="Arial" w:cs="Arial"/>
        </w:rPr>
        <w:t>ístní části města</w:t>
      </w:r>
      <w:r w:rsidR="00E42E24">
        <w:rPr>
          <w:rFonts w:ascii="Arial" w:hAnsi="Arial" w:cs="Arial"/>
        </w:rPr>
        <w:t xml:space="preserve"> </w:t>
      </w:r>
      <w:r w:rsidR="00E21F3B">
        <w:rPr>
          <w:rFonts w:ascii="Arial" w:hAnsi="Arial" w:cs="Arial"/>
        </w:rPr>
        <w:t xml:space="preserve">(Dalov, Chabičov, Krakořice a Těšíkov) </w:t>
      </w:r>
      <w:r w:rsidR="00E42E24">
        <w:rPr>
          <w:rFonts w:ascii="Arial" w:hAnsi="Arial" w:cs="Arial"/>
        </w:rPr>
        <w:t>včetně lokalit Lhota</w:t>
      </w:r>
      <w:r w:rsidR="00E21F3B">
        <w:rPr>
          <w:rFonts w:ascii="Arial" w:hAnsi="Arial" w:cs="Arial"/>
        </w:rPr>
        <w:t>,</w:t>
      </w:r>
      <w:r w:rsidR="00E42E24">
        <w:rPr>
          <w:rFonts w:ascii="Arial" w:hAnsi="Arial" w:cs="Arial"/>
        </w:rPr>
        <w:t xml:space="preserve"> Dolní Žleb</w:t>
      </w:r>
      <w:r w:rsidR="00E21F3B">
        <w:rPr>
          <w:rFonts w:ascii="Arial" w:hAnsi="Arial" w:cs="Arial"/>
        </w:rPr>
        <w:t xml:space="preserve"> a Horní Žleb</w:t>
      </w:r>
      <w:r w:rsidR="00726B2B" w:rsidRPr="001D3F26">
        <w:rPr>
          <w:rFonts w:ascii="Arial" w:hAnsi="Arial" w:cs="Arial"/>
        </w:rPr>
        <w:t>, kter</w:t>
      </w:r>
      <w:r w:rsidR="00E42E24">
        <w:rPr>
          <w:rFonts w:ascii="Arial" w:hAnsi="Arial" w:cs="Arial"/>
        </w:rPr>
        <w:t>é</w:t>
      </w:r>
      <w:r w:rsidR="00726B2B" w:rsidRPr="001D3F26">
        <w:rPr>
          <w:rFonts w:ascii="Arial" w:hAnsi="Arial" w:cs="Arial"/>
        </w:rPr>
        <w:t xml:space="preserve"> m</w:t>
      </w:r>
      <w:r w:rsidR="00E42E24">
        <w:rPr>
          <w:rFonts w:ascii="Arial" w:hAnsi="Arial" w:cs="Arial"/>
        </w:rPr>
        <w:t>ají</w:t>
      </w:r>
      <w:r w:rsidR="00726B2B" w:rsidRPr="001D3F26">
        <w:rPr>
          <w:rFonts w:ascii="Arial" w:hAnsi="Arial" w:cs="Arial"/>
        </w:rPr>
        <w:t xml:space="preserve"> charakter samostatn</w:t>
      </w:r>
      <w:r w:rsidR="00E42E24">
        <w:rPr>
          <w:rFonts w:ascii="Arial" w:hAnsi="Arial" w:cs="Arial"/>
        </w:rPr>
        <w:t>ých</w:t>
      </w:r>
      <w:r w:rsidR="00726B2B" w:rsidRPr="001D3F26">
        <w:rPr>
          <w:rFonts w:ascii="Arial" w:hAnsi="Arial" w:cs="Arial"/>
        </w:rPr>
        <w:t xml:space="preserve"> místní</w:t>
      </w:r>
      <w:r w:rsidR="00E42E24">
        <w:rPr>
          <w:rFonts w:ascii="Arial" w:hAnsi="Arial" w:cs="Arial"/>
        </w:rPr>
        <w:t>ch</w:t>
      </w:r>
      <w:r w:rsidR="00726B2B" w:rsidRPr="001D3F26">
        <w:rPr>
          <w:rFonts w:ascii="Arial" w:hAnsi="Arial" w:cs="Arial"/>
        </w:rPr>
        <w:t xml:space="preserve"> část</w:t>
      </w:r>
      <w:r w:rsidR="00E42E24">
        <w:rPr>
          <w:rFonts w:ascii="Arial" w:hAnsi="Arial" w:cs="Arial"/>
        </w:rPr>
        <w:t>í</w:t>
      </w:r>
      <w:r w:rsidR="00726B2B" w:rsidRPr="001D3F26">
        <w:rPr>
          <w:rFonts w:ascii="Arial" w:hAnsi="Arial" w:cs="Arial"/>
        </w:rPr>
        <w:t>, kde by umístění</w:t>
      </w:r>
      <w:r w:rsidR="00E41040">
        <w:rPr>
          <w:rFonts w:ascii="Arial" w:hAnsi="Arial" w:cs="Arial"/>
        </w:rPr>
        <w:t>m</w:t>
      </w:r>
      <w:r w:rsidR="00726B2B" w:rsidRPr="001D3F26">
        <w:rPr>
          <w:rFonts w:ascii="Arial" w:hAnsi="Arial" w:cs="Arial"/>
        </w:rPr>
        <w:t xml:space="preserve"> provozoven hazardu hrozilo naruš</w:t>
      </w:r>
      <w:r w:rsidR="00E41040">
        <w:rPr>
          <w:rFonts w:ascii="Arial" w:hAnsi="Arial" w:cs="Arial"/>
        </w:rPr>
        <w:t>ení</w:t>
      </w:r>
      <w:r w:rsidR="00726B2B" w:rsidRPr="001D3F26">
        <w:rPr>
          <w:rFonts w:ascii="Arial" w:hAnsi="Arial" w:cs="Arial"/>
        </w:rPr>
        <w:t xml:space="preserve"> klidn</w:t>
      </w:r>
      <w:r w:rsidR="00E41040">
        <w:rPr>
          <w:rFonts w:ascii="Arial" w:hAnsi="Arial" w:cs="Arial"/>
        </w:rPr>
        <w:t>ého</w:t>
      </w:r>
      <w:r w:rsidR="00726B2B" w:rsidRPr="001D3F26">
        <w:rPr>
          <w:rFonts w:ascii="Arial" w:hAnsi="Arial" w:cs="Arial"/>
        </w:rPr>
        <w:t xml:space="preserve"> venkovsk</w:t>
      </w:r>
      <w:r w:rsidR="00E41040">
        <w:rPr>
          <w:rFonts w:ascii="Arial" w:hAnsi="Arial" w:cs="Arial"/>
        </w:rPr>
        <w:t>ého</w:t>
      </w:r>
      <w:r w:rsidR="00726B2B" w:rsidRPr="001D3F26">
        <w:rPr>
          <w:rFonts w:ascii="Arial" w:hAnsi="Arial" w:cs="Arial"/>
        </w:rPr>
        <w:t xml:space="preserve"> způsob</w:t>
      </w:r>
      <w:r w:rsidR="00E41040">
        <w:rPr>
          <w:rFonts w:ascii="Arial" w:hAnsi="Arial" w:cs="Arial"/>
        </w:rPr>
        <w:t xml:space="preserve">u </w:t>
      </w:r>
      <w:r w:rsidR="00726B2B" w:rsidRPr="001D3F26">
        <w:rPr>
          <w:rFonts w:ascii="Arial" w:hAnsi="Arial" w:cs="Arial"/>
        </w:rPr>
        <w:t>života</w:t>
      </w:r>
      <w:r w:rsidR="00804C51">
        <w:rPr>
          <w:rFonts w:ascii="Arial" w:hAnsi="Arial" w:cs="Arial"/>
        </w:rPr>
        <w:t>.</w:t>
      </w:r>
    </w:p>
    <w:p w14:paraId="2F8DFB87" w14:textId="111DFDA6" w:rsidR="001D3F26" w:rsidRPr="00817199" w:rsidRDefault="00C45F12" w:rsidP="00C45F12">
      <w:pPr>
        <w:pStyle w:val="Odstavecseseznamem"/>
        <w:numPr>
          <w:ilvl w:val="1"/>
          <w:numId w:val="1"/>
        </w:numPr>
        <w:spacing w:before="120" w:after="0" w:line="240" w:lineRule="auto"/>
        <w:ind w:left="993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726B2B" w:rsidRPr="001D3F26">
        <w:rPr>
          <w:rFonts w:ascii="Arial" w:hAnsi="Arial" w:cs="Arial"/>
        </w:rPr>
        <w:t>rovozovny hazardu musí být situovány ve vzdálenosti minimálně 50 m od sociálních zařízení, škol a školských zařízení.</w:t>
      </w:r>
    </w:p>
    <w:p w14:paraId="6327398F" w14:textId="5B46ABA8" w:rsidR="000E5590" w:rsidRPr="000E5590" w:rsidRDefault="000E5590" w:rsidP="000E5590">
      <w:pPr>
        <w:pStyle w:val="Odstavecseseznamem"/>
        <w:numPr>
          <w:ilvl w:val="0"/>
          <w:numId w:val="1"/>
        </w:numPr>
        <w:tabs>
          <w:tab w:val="left" w:pos="709"/>
        </w:tabs>
        <w:spacing w:before="120" w:after="0" w:line="240" w:lineRule="auto"/>
        <w:ind w:left="714" w:hanging="288"/>
        <w:contextualSpacing w:val="0"/>
        <w:jc w:val="both"/>
        <w:rPr>
          <w:rFonts w:ascii="Arial" w:hAnsi="Arial" w:cs="Arial"/>
          <w:b/>
          <w:bCs/>
        </w:rPr>
      </w:pPr>
      <w:r w:rsidRPr="000E5590">
        <w:rPr>
          <w:rFonts w:ascii="Arial" w:hAnsi="Arial" w:cs="Arial"/>
          <w:b/>
          <w:bCs/>
        </w:rPr>
        <w:tab/>
        <w:t>Rozmístění provozoven hazardu na území města</w:t>
      </w:r>
    </w:p>
    <w:p w14:paraId="57F7BE82" w14:textId="6364E36E" w:rsidR="000E5590" w:rsidRPr="000E5590" w:rsidRDefault="000E5590" w:rsidP="000E5590">
      <w:pPr>
        <w:spacing w:after="0" w:line="240" w:lineRule="auto"/>
        <w:ind w:left="709"/>
        <w:jc w:val="both"/>
        <w:rPr>
          <w:rFonts w:ascii="Arial" w:hAnsi="Arial" w:cs="Arial"/>
        </w:rPr>
      </w:pPr>
      <w:r w:rsidRPr="000E5590">
        <w:rPr>
          <w:rFonts w:ascii="Arial" w:hAnsi="Arial" w:cs="Arial"/>
        </w:rPr>
        <w:t xml:space="preserve">Jednotlivé provozovny musí být od sebe vzdáleny nejméně </w:t>
      </w:r>
      <w:r>
        <w:rPr>
          <w:rFonts w:ascii="Arial" w:hAnsi="Arial" w:cs="Arial"/>
        </w:rPr>
        <w:t>300</w:t>
      </w:r>
      <w:r w:rsidRPr="000E5590">
        <w:rPr>
          <w:rFonts w:ascii="Arial" w:hAnsi="Arial" w:cs="Arial"/>
        </w:rPr>
        <w:t xml:space="preserve"> m, aby se případné negativní dopady spojené s provozováním hazardních her nekumulovaly na jednom místě. </w:t>
      </w:r>
    </w:p>
    <w:p w14:paraId="26F542EE" w14:textId="74572E1D" w:rsidR="00726B2B" w:rsidRPr="001D3F26" w:rsidRDefault="00726B2B" w:rsidP="000E5590">
      <w:pPr>
        <w:spacing w:before="120" w:after="0" w:line="240" w:lineRule="auto"/>
        <w:jc w:val="center"/>
        <w:rPr>
          <w:rFonts w:ascii="Arial" w:hAnsi="Arial" w:cs="Arial"/>
          <w:b/>
          <w:bCs/>
        </w:rPr>
      </w:pPr>
      <w:r w:rsidRPr="001D3F26">
        <w:rPr>
          <w:rFonts w:ascii="Arial" w:hAnsi="Arial" w:cs="Arial"/>
          <w:b/>
          <w:bCs/>
        </w:rPr>
        <w:t>Čl. 1</w:t>
      </w:r>
    </w:p>
    <w:p w14:paraId="2A157696" w14:textId="77777777" w:rsidR="00726B2B" w:rsidRPr="001D3F26" w:rsidRDefault="00726B2B" w:rsidP="001D3F26">
      <w:pPr>
        <w:spacing w:before="120" w:after="0" w:line="240" w:lineRule="auto"/>
        <w:jc w:val="center"/>
        <w:rPr>
          <w:rFonts w:ascii="Arial" w:hAnsi="Arial" w:cs="Arial"/>
          <w:b/>
          <w:bCs/>
        </w:rPr>
      </w:pPr>
      <w:r w:rsidRPr="001D3F26">
        <w:rPr>
          <w:rFonts w:ascii="Arial" w:hAnsi="Arial" w:cs="Arial"/>
          <w:b/>
          <w:bCs/>
        </w:rPr>
        <w:t>Účel vyhlášky</w:t>
      </w:r>
    </w:p>
    <w:p w14:paraId="1D11F598" w14:textId="5755F6E5" w:rsidR="00726B2B" w:rsidRPr="001D3F26" w:rsidRDefault="00726B2B" w:rsidP="001D3F26">
      <w:pPr>
        <w:pStyle w:val="Odstavecseseznamem"/>
        <w:numPr>
          <w:ilvl w:val="2"/>
          <w:numId w:val="8"/>
        </w:numPr>
        <w:spacing w:before="120" w:after="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1D3F26">
        <w:rPr>
          <w:rFonts w:ascii="Arial" w:hAnsi="Arial" w:cs="Arial"/>
        </w:rPr>
        <w:t>Účelem této vyhlášky je omezení společenských rizik a negativních vlivů vyplývajících z provozování některých hazardních her, ochrana sociálně slabých, snadno ovlivnitelných nebo duševně nevyzrálých osob před důsledky plynoucími z účasti na hazardních hrách a předcházení záporným jevům spojený</w:t>
      </w:r>
      <w:r w:rsidR="00E41040">
        <w:rPr>
          <w:rFonts w:ascii="Arial" w:hAnsi="Arial" w:cs="Arial"/>
        </w:rPr>
        <w:t>ch</w:t>
      </w:r>
      <w:r w:rsidRPr="001D3F26">
        <w:rPr>
          <w:rFonts w:ascii="Arial" w:hAnsi="Arial" w:cs="Arial"/>
        </w:rPr>
        <w:t xml:space="preserve"> s hraním hazardních her, které ve svých důsledcích mohou vést k narušování veřejného pořádku a ke zvýšení kriminality a k dalším patologickým jevům ve městě.</w:t>
      </w:r>
    </w:p>
    <w:p w14:paraId="757D68EA" w14:textId="2C26FF14" w:rsidR="00817199" w:rsidRPr="00110AE1" w:rsidRDefault="00726B2B" w:rsidP="00110AE1">
      <w:pPr>
        <w:pStyle w:val="Odstavecseseznamem"/>
        <w:numPr>
          <w:ilvl w:val="2"/>
          <w:numId w:val="8"/>
        </w:numPr>
        <w:spacing w:before="120" w:after="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1D3F26">
        <w:rPr>
          <w:rFonts w:ascii="Arial" w:hAnsi="Arial" w:cs="Arial"/>
        </w:rPr>
        <w:t>Tento účel je realizován stanovením maximálního počtu provozoven hazardu ve městě a stanovením vyloučených lokalit, kde nemohou být hazardní hry provozovány, aby uvedené negativní důsledky byly v co největší míře omezeny.</w:t>
      </w:r>
    </w:p>
    <w:p w14:paraId="0AA34621" w14:textId="77777777" w:rsidR="00817199" w:rsidRDefault="00817199" w:rsidP="001D3F26">
      <w:pPr>
        <w:spacing w:before="120" w:after="0" w:line="240" w:lineRule="auto"/>
        <w:jc w:val="center"/>
        <w:rPr>
          <w:rFonts w:ascii="Arial" w:hAnsi="Arial" w:cs="Arial"/>
          <w:b/>
          <w:bCs/>
        </w:rPr>
      </w:pPr>
    </w:p>
    <w:p w14:paraId="603382ED" w14:textId="672ED4B6" w:rsidR="00726B2B" w:rsidRPr="001D3F26" w:rsidRDefault="00726B2B" w:rsidP="001D3F26">
      <w:pPr>
        <w:spacing w:before="120" w:after="0" w:line="240" w:lineRule="auto"/>
        <w:jc w:val="center"/>
        <w:rPr>
          <w:rFonts w:ascii="Arial" w:hAnsi="Arial" w:cs="Arial"/>
          <w:b/>
          <w:bCs/>
        </w:rPr>
      </w:pPr>
      <w:r w:rsidRPr="001D3F26">
        <w:rPr>
          <w:rFonts w:ascii="Arial" w:hAnsi="Arial" w:cs="Arial"/>
          <w:b/>
          <w:bCs/>
        </w:rPr>
        <w:t>Čl. 2</w:t>
      </w:r>
    </w:p>
    <w:p w14:paraId="33329DDB" w14:textId="77777777" w:rsidR="00726B2B" w:rsidRPr="001D3F26" w:rsidRDefault="00726B2B" w:rsidP="001D3F26">
      <w:pPr>
        <w:spacing w:before="120" w:after="0" w:line="240" w:lineRule="auto"/>
        <w:jc w:val="center"/>
        <w:rPr>
          <w:rFonts w:ascii="Arial" w:hAnsi="Arial" w:cs="Arial"/>
          <w:b/>
          <w:bCs/>
        </w:rPr>
      </w:pPr>
      <w:r w:rsidRPr="001D3F26">
        <w:rPr>
          <w:rFonts w:ascii="Arial" w:hAnsi="Arial" w:cs="Arial"/>
          <w:b/>
          <w:bCs/>
        </w:rPr>
        <w:t>Stanovení počtu míst (provozoven)</w:t>
      </w:r>
    </w:p>
    <w:p w14:paraId="11ED87A7" w14:textId="77777777" w:rsidR="0050471A" w:rsidRDefault="0050471A" w:rsidP="00BE43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11398EC4" w14:textId="4C02F388" w:rsidR="00BE436A" w:rsidRPr="00F64D3F" w:rsidRDefault="00BE436A" w:rsidP="00F64D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50471A">
        <w:rPr>
          <w:rFonts w:ascii="Arial" w:hAnsi="Arial" w:cs="Arial"/>
          <w:kern w:val="0"/>
        </w:rPr>
        <w:t>Hazardní hry, jak jsou definovány v § 3 odst. 2 písm. d), e) a f) zákona o hazardních hrách, mohou být provozovány na těchto veřejně přístupných místech:</w:t>
      </w:r>
    </w:p>
    <w:p w14:paraId="47AD5573" w14:textId="6A50DB82" w:rsidR="00F64D3F" w:rsidRPr="00F64D3F" w:rsidRDefault="00F64D3F" w:rsidP="00E4478B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F64D3F">
        <w:rPr>
          <w:rFonts w:ascii="Arial" w:eastAsia="Times New Roman" w:hAnsi="Arial" w:cs="Arial"/>
        </w:rPr>
        <w:t>Olomoucká 1621/68</w:t>
      </w:r>
      <w:r>
        <w:rPr>
          <w:rFonts w:ascii="Arial" w:eastAsia="Times New Roman" w:hAnsi="Arial" w:cs="Arial"/>
        </w:rPr>
        <w:t>, Šternberk v k.ú. Šternberk</w:t>
      </w:r>
      <w:r w:rsidR="00FC5C0B">
        <w:rPr>
          <w:rFonts w:ascii="Arial" w:eastAsia="Times New Roman" w:hAnsi="Arial" w:cs="Arial"/>
        </w:rPr>
        <w:t>,</w:t>
      </w:r>
    </w:p>
    <w:p w14:paraId="5FB408AC" w14:textId="3B020569" w:rsidR="00F64D3F" w:rsidRPr="00F64D3F" w:rsidRDefault="00F64D3F" w:rsidP="00E4478B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F64D3F">
        <w:rPr>
          <w:rFonts w:ascii="Arial" w:eastAsia="Times New Roman" w:hAnsi="Arial" w:cs="Arial"/>
        </w:rPr>
        <w:t>ČSA 123/13</w:t>
      </w:r>
      <w:r>
        <w:rPr>
          <w:rFonts w:ascii="Arial" w:eastAsia="Times New Roman" w:hAnsi="Arial" w:cs="Arial"/>
        </w:rPr>
        <w:t>, Šternberk v k.ú. Šternberk</w:t>
      </w:r>
      <w:r w:rsidR="00FC5C0B">
        <w:rPr>
          <w:rFonts w:ascii="Arial" w:eastAsia="Times New Roman" w:hAnsi="Arial" w:cs="Arial"/>
        </w:rPr>
        <w:t>,</w:t>
      </w:r>
    </w:p>
    <w:p w14:paraId="18BD9DE8" w14:textId="5796584C" w:rsidR="00F64D3F" w:rsidRPr="00F64D3F" w:rsidRDefault="00F64D3F" w:rsidP="00E4478B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F64D3F">
        <w:rPr>
          <w:rFonts w:ascii="Arial" w:eastAsia="Times New Roman" w:hAnsi="Arial" w:cs="Arial"/>
        </w:rPr>
        <w:t>Uničovská 2149/99</w:t>
      </w:r>
      <w:r>
        <w:rPr>
          <w:rFonts w:ascii="Arial" w:eastAsia="Times New Roman" w:hAnsi="Arial" w:cs="Arial"/>
        </w:rPr>
        <w:t>, Šternberk v k.ú. Šternberk</w:t>
      </w:r>
      <w:r w:rsidR="00FC5C0B">
        <w:rPr>
          <w:rFonts w:ascii="Arial" w:eastAsia="Times New Roman" w:hAnsi="Arial" w:cs="Arial"/>
        </w:rPr>
        <w:t>.</w:t>
      </w:r>
    </w:p>
    <w:p w14:paraId="69BCB1A4" w14:textId="21902E87" w:rsidR="001D3F26" w:rsidRPr="0050471A" w:rsidRDefault="001D3F26" w:rsidP="00504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77863AB" w14:textId="64FD6FF3" w:rsidR="00726B2B" w:rsidRPr="001D3F26" w:rsidRDefault="00726B2B" w:rsidP="001D3F26">
      <w:pPr>
        <w:spacing w:before="120" w:after="0" w:line="240" w:lineRule="auto"/>
        <w:jc w:val="center"/>
        <w:rPr>
          <w:rFonts w:ascii="Arial" w:hAnsi="Arial" w:cs="Arial"/>
          <w:b/>
          <w:bCs/>
        </w:rPr>
      </w:pPr>
      <w:r w:rsidRPr="001D3F26">
        <w:rPr>
          <w:rFonts w:ascii="Arial" w:hAnsi="Arial" w:cs="Arial"/>
          <w:b/>
          <w:bCs/>
        </w:rPr>
        <w:t>Čl. 3</w:t>
      </w:r>
    </w:p>
    <w:p w14:paraId="3F1C614C" w14:textId="48706E1B" w:rsidR="00726B2B" w:rsidRPr="001D3F26" w:rsidRDefault="00726B2B" w:rsidP="001D3F26">
      <w:pPr>
        <w:spacing w:before="120" w:after="0" w:line="240" w:lineRule="auto"/>
        <w:jc w:val="center"/>
        <w:rPr>
          <w:rFonts w:ascii="Arial" w:hAnsi="Arial" w:cs="Arial"/>
          <w:b/>
          <w:bCs/>
        </w:rPr>
      </w:pPr>
      <w:r w:rsidRPr="001D3F26">
        <w:rPr>
          <w:rFonts w:ascii="Arial" w:hAnsi="Arial" w:cs="Arial"/>
          <w:b/>
          <w:bCs/>
        </w:rPr>
        <w:t>Závěrečná ustanovení</w:t>
      </w:r>
    </w:p>
    <w:p w14:paraId="6AD9CB37" w14:textId="413BDB5C" w:rsidR="00726B2B" w:rsidRPr="001D3F26" w:rsidRDefault="00726B2B" w:rsidP="001D3F26">
      <w:pPr>
        <w:pStyle w:val="Odstavecseseznamem"/>
        <w:numPr>
          <w:ilvl w:val="0"/>
          <w:numId w:val="12"/>
        </w:numPr>
        <w:spacing w:before="120" w:after="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1D3F26">
        <w:rPr>
          <w:rFonts w:ascii="Arial" w:hAnsi="Arial" w:cs="Arial"/>
        </w:rPr>
        <w:t>Touto vyhláškou nejsou dotčeny povinnosti provozovatelů hazardních her, stanovené v jiných obecně závazných právních předpisech</w:t>
      </w:r>
      <w:r w:rsidR="00082B9F">
        <w:rPr>
          <w:rStyle w:val="Znakapoznpodarou"/>
          <w:rFonts w:ascii="Arial" w:hAnsi="Arial" w:cs="Arial"/>
        </w:rPr>
        <w:footnoteReference w:id="1"/>
      </w:r>
      <w:r w:rsidRPr="001D3F26">
        <w:rPr>
          <w:rFonts w:ascii="Arial" w:hAnsi="Arial" w:cs="Arial"/>
        </w:rPr>
        <w:t>.</w:t>
      </w:r>
    </w:p>
    <w:p w14:paraId="4055F41E" w14:textId="3D7FD98D" w:rsidR="00726B2B" w:rsidRDefault="00726B2B" w:rsidP="001D3F26">
      <w:pPr>
        <w:pStyle w:val="Odstavecseseznamem"/>
        <w:numPr>
          <w:ilvl w:val="0"/>
          <w:numId w:val="12"/>
        </w:numPr>
        <w:spacing w:before="120" w:after="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1D3F26">
        <w:rPr>
          <w:rFonts w:ascii="Arial" w:hAnsi="Arial" w:cs="Arial"/>
        </w:rPr>
        <w:t xml:space="preserve">Dozor nad dodržováním povinností stanovených zákonem o hazardních hrách vykonává Ministerstvo financí a </w:t>
      </w:r>
      <w:r w:rsidR="007512CF">
        <w:rPr>
          <w:rFonts w:ascii="Arial" w:hAnsi="Arial" w:cs="Arial"/>
        </w:rPr>
        <w:t>c</w:t>
      </w:r>
      <w:r w:rsidRPr="001D3F26">
        <w:rPr>
          <w:rFonts w:ascii="Arial" w:hAnsi="Arial" w:cs="Arial"/>
        </w:rPr>
        <w:t>elní úřad.</w:t>
      </w:r>
    </w:p>
    <w:p w14:paraId="0712BCC0" w14:textId="6DC539D1" w:rsidR="00726B2B" w:rsidRPr="001D3F26" w:rsidRDefault="00726B2B" w:rsidP="001D3F26">
      <w:pPr>
        <w:pStyle w:val="Odstavecseseznamem"/>
        <w:numPr>
          <w:ilvl w:val="0"/>
          <w:numId w:val="12"/>
        </w:numPr>
        <w:spacing w:before="120" w:after="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1D3F26">
        <w:rPr>
          <w:rFonts w:ascii="Arial" w:hAnsi="Arial" w:cs="Arial"/>
        </w:rPr>
        <w:t>Porušení povinností stanovených touto vyhláškou bude postihováno podle jiných právních předpisů</w:t>
      </w:r>
      <w:r w:rsidR="00082B9F">
        <w:rPr>
          <w:rStyle w:val="Znakapoznpodarou"/>
          <w:rFonts w:ascii="Arial" w:hAnsi="Arial" w:cs="Arial"/>
        </w:rPr>
        <w:footnoteReference w:id="2"/>
      </w:r>
      <w:r w:rsidRPr="001D3F26">
        <w:rPr>
          <w:rFonts w:ascii="Arial" w:hAnsi="Arial" w:cs="Arial"/>
        </w:rPr>
        <w:t>.</w:t>
      </w:r>
    </w:p>
    <w:p w14:paraId="74DFD0C3" w14:textId="77777777" w:rsidR="00726B2B" w:rsidRPr="001D3F26" w:rsidRDefault="00726B2B" w:rsidP="001D3F26">
      <w:pPr>
        <w:spacing w:before="120" w:after="0" w:line="240" w:lineRule="auto"/>
        <w:jc w:val="center"/>
        <w:rPr>
          <w:rFonts w:ascii="Arial" w:hAnsi="Arial" w:cs="Arial"/>
          <w:b/>
          <w:bCs/>
        </w:rPr>
      </w:pPr>
      <w:r w:rsidRPr="001D3F26">
        <w:rPr>
          <w:rFonts w:ascii="Arial" w:hAnsi="Arial" w:cs="Arial"/>
          <w:b/>
          <w:bCs/>
        </w:rPr>
        <w:t>Čl. 4</w:t>
      </w:r>
    </w:p>
    <w:p w14:paraId="4958BFD3" w14:textId="363D0774" w:rsidR="00726B2B" w:rsidRPr="001D3F26" w:rsidRDefault="001D3F26" w:rsidP="001D3F26">
      <w:pPr>
        <w:spacing w:before="120"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Zrušovací ustanovení</w:t>
      </w:r>
    </w:p>
    <w:p w14:paraId="6CC3EC93" w14:textId="27CD00DE" w:rsidR="00726B2B" w:rsidRPr="00726B2B" w:rsidRDefault="00726B2B" w:rsidP="001D3F26">
      <w:pPr>
        <w:spacing w:before="120" w:after="0" w:line="240" w:lineRule="auto"/>
        <w:rPr>
          <w:rFonts w:ascii="Arial" w:hAnsi="Arial" w:cs="Arial"/>
        </w:rPr>
      </w:pPr>
    </w:p>
    <w:p w14:paraId="3357A4F6" w14:textId="7FF62020" w:rsidR="00726B2B" w:rsidRPr="00726B2B" w:rsidRDefault="00726B2B" w:rsidP="001D3F26">
      <w:pPr>
        <w:spacing w:before="120" w:after="0" w:line="240" w:lineRule="auto"/>
        <w:jc w:val="both"/>
        <w:rPr>
          <w:rFonts w:ascii="Arial" w:hAnsi="Arial" w:cs="Arial"/>
        </w:rPr>
      </w:pPr>
      <w:r w:rsidRPr="00726B2B">
        <w:rPr>
          <w:rFonts w:ascii="Arial" w:hAnsi="Arial" w:cs="Arial"/>
        </w:rPr>
        <w:t xml:space="preserve">Zrušuje se obecně závazná vyhláška města </w:t>
      </w:r>
      <w:r w:rsidR="00082B9F">
        <w:rPr>
          <w:rFonts w:ascii="Arial" w:hAnsi="Arial" w:cs="Arial"/>
        </w:rPr>
        <w:t xml:space="preserve">Šternberka </w:t>
      </w:r>
      <w:r w:rsidRPr="00726B2B">
        <w:rPr>
          <w:rFonts w:ascii="Arial" w:hAnsi="Arial" w:cs="Arial"/>
        </w:rPr>
        <w:t xml:space="preserve">č. </w:t>
      </w:r>
      <w:r w:rsidR="00082B9F">
        <w:rPr>
          <w:rFonts w:ascii="Arial" w:hAnsi="Arial" w:cs="Arial"/>
        </w:rPr>
        <w:t>7</w:t>
      </w:r>
      <w:r w:rsidRPr="00726B2B">
        <w:rPr>
          <w:rFonts w:ascii="Arial" w:hAnsi="Arial" w:cs="Arial"/>
        </w:rPr>
        <w:t>/201</w:t>
      </w:r>
      <w:r w:rsidR="00082B9F">
        <w:rPr>
          <w:rFonts w:ascii="Arial" w:hAnsi="Arial" w:cs="Arial"/>
        </w:rPr>
        <w:t>3</w:t>
      </w:r>
      <w:r w:rsidRPr="00726B2B">
        <w:rPr>
          <w:rFonts w:ascii="Arial" w:hAnsi="Arial" w:cs="Arial"/>
        </w:rPr>
        <w:t>, o stanovení míst, na kterých mohou být provozovány loterie a jiné podobné hry</w:t>
      </w:r>
      <w:r w:rsidR="00082B9F">
        <w:rPr>
          <w:rFonts w:ascii="Arial" w:hAnsi="Arial" w:cs="Arial"/>
        </w:rPr>
        <w:t xml:space="preserve"> na území obce</w:t>
      </w:r>
      <w:r w:rsidRPr="00726B2B">
        <w:rPr>
          <w:rFonts w:ascii="Arial" w:hAnsi="Arial" w:cs="Arial"/>
        </w:rPr>
        <w:t xml:space="preserve">, ze dne </w:t>
      </w:r>
      <w:r w:rsidR="00082B9F">
        <w:rPr>
          <w:rFonts w:ascii="Arial" w:hAnsi="Arial" w:cs="Arial"/>
        </w:rPr>
        <w:t>11</w:t>
      </w:r>
      <w:r w:rsidRPr="00726B2B">
        <w:rPr>
          <w:rFonts w:ascii="Arial" w:hAnsi="Arial" w:cs="Arial"/>
        </w:rPr>
        <w:t xml:space="preserve">. </w:t>
      </w:r>
      <w:r w:rsidR="00082B9F">
        <w:rPr>
          <w:rFonts w:ascii="Arial" w:hAnsi="Arial" w:cs="Arial"/>
        </w:rPr>
        <w:t xml:space="preserve">září </w:t>
      </w:r>
      <w:r w:rsidRPr="00726B2B">
        <w:rPr>
          <w:rFonts w:ascii="Arial" w:hAnsi="Arial" w:cs="Arial"/>
        </w:rPr>
        <w:t>201</w:t>
      </w:r>
      <w:r w:rsidR="00082B9F">
        <w:rPr>
          <w:rFonts w:ascii="Arial" w:hAnsi="Arial" w:cs="Arial"/>
        </w:rPr>
        <w:t>3</w:t>
      </w:r>
      <w:r w:rsidRPr="00726B2B">
        <w:rPr>
          <w:rFonts w:ascii="Arial" w:hAnsi="Arial" w:cs="Arial"/>
        </w:rPr>
        <w:t>.</w:t>
      </w:r>
    </w:p>
    <w:p w14:paraId="777B8C27" w14:textId="77777777" w:rsidR="0050471A" w:rsidRDefault="0050471A" w:rsidP="001D3F26">
      <w:pPr>
        <w:spacing w:before="120" w:after="0" w:line="240" w:lineRule="auto"/>
        <w:jc w:val="center"/>
        <w:rPr>
          <w:rFonts w:ascii="Arial" w:hAnsi="Arial" w:cs="Arial"/>
          <w:b/>
          <w:bCs/>
        </w:rPr>
      </w:pPr>
    </w:p>
    <w:p w14:paraId="44603806" w14:textId="3355A3D9" w:rsidR="00726B2B" w:rsidRPr="001D3F26" w:rsidRDefault="001D3F26" w:rsidP="001D3F26">
      <w:pPr>
        <w:spacing w:before="120" w:after="0" w:line="240" w:lineRule="auto"/>
        <w:jc w:val="center"/>
        <w:rPr>
          <w:rFonts w:ascii="Arial" w:hAnsi="Arial" w:cs="Arial"/>
          <w:b/>
          <w:bCs/>
        </w:rPr>
      </w:pPr>
      <w:r w:rsidRPr="001D3F26">
        <w:rPr>
          <w:rFonts w:ascii="Arial" w:hAnsi="Arial" w:cs="Arial"/>
          <w:b/>
          <w:bCs/>
        </w:rPr>
        <w:t>Čl. 5</w:t>
      </w:r>
    </w:p>
    <w:p w14:paraId="094A5780" w14:textId="7E6561EE" w:rsidR="001D3F26" w:rsidRPr="001D3F26" w:rsidRDefault="001D3F26" w:rsidP="001D3F26">
      <w:pPr>
        <w:spacing w:before="120" w:after="0" w:line="240" w:lineRule="auto"/>
        <w:jc w:val="center"/>
        <w:rPr>
          <w:rFonts w:ascii="Arial" w:hAnsi="Arial" w:cs="Arial"/>
          <w:b/>
          <w:bCs/>
        </w:rPr>
      </w:pPr>
      <w:r w:rsidRPr="001D3F26">
        <w:rPr>
          <w:rFonts w:ascii="Arial" w:hAnsi="Arial" w:cs="Arial"/>
          <w:b/>
          <w:bCs/>
        </w:rPr>
        <w:t>Účinnost</w:t>
      </w:r>
    </w:p>
    <w:p w14:paraId="150FE97A" w14:textId="6BBAFC12" w:rsidR="00BB3F7B" w:rsidRDefault="00726B2B" w:rsidP="00082B9F">
      <w:pPr>
        <w:spacing w:before="120" w:after="0" w:line="240" w:lineRule="auto"/>
        <w:jc w:val="both"/>
        <w:rPr>
          <w:rFonts w:ascii="Arial" w:hAnsi="Arial" w:cs="Arial"/>
        </w:rPr>
      </w:pPr>
      <w:r w:rsidRPr="00726B2B">
        <w:rPr>
          <w:rFonts w:ascii="Arial" w:hAnsi="Arial" w:cs="Arial"/>
        </w:rPr>
        <w:t>Tato vyhláška nabývá účinnosti počátkem patnáctého dne následujícího po dni jejího vyhlášení.</w:t>
      </w:r>
    </w:p>
    <w:p w14:paraId="73A3A4B7" w14:textId="77777777" w:rsidR="002E2CC2" w:rsidRDefault="002E2CC2" w:rsidP="002E2CC2">
      <w:pPr>
        <w:spacing w:before="120" w:after="0" w:line="240" w:lineRule="auto"/>
        <w:jc w:val="both"/>
        <w:rPr>
          <w:rFonts w:ascii="Arial" w:hAnsi="Arial" w:cs="Arial"/>
        </w:rPr>
      </w:pPr>
    </w:p>
    <w:p w14:paraId="71CCFE4B" w14:textId="77777777" w:rsidR="002E2CC2" w:rsidRPr="002E2CC2" w:rsidRDefault="002E2CC2" w:rsidP="002E2CC2">
      <w:pPr>
        <w:spacing w:before="120" w:after="0" w:line="240" w:lineRule="auto"/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E2CC2" w:rsidRPr="002E2CC2" w14:paraId="55476978" w14:textId="77777777" w:rsidTr="002E2CC2">
        <w:tc>
          <w:tcPr>
            <w:tcW w:w="4531" w:type="dxa"/>
            <w:hideMark/>
          </w:tcPr>
          <w:p w14:paraId="44405A4E" w14:textId="49887315" w:rsidR="002E2CC2" w:rsidRPr="002E2CC2" w:rsidRDefault="002E2CC2" w:rsidP="001129BA">
            <w:pPr>
              <w:jc w:val="center"/>
              <w:rPr>
                <w:rFonts w:ascii="Arial" w:hAnsi="Arial" w:cs="Arial"/>
              </w:rPr>
            </w:pPr>
            <w:r w:rsidRPr="002E2CC2">
              <w:rPr>
                <w:rFonts w:ascii="Arial" w:hAnsi="Arial" w:cs="Arial"/>
              </w:rPr>
              <w:t>Bc. Jiří Kraus</w:t>
            </w:r>
            <w:r w:rsidR="00475733">
              <w:rPr>
                <w:rFonts w:ascii="Arial" w:hAnsi="Arial" w:cs="Arial"/>
              </w:rPr>
              <w:t xml:space="preserve"> v. r. </w:t>
            </w:r>
          </w:p>
        </w:tc>
        <w:tc>
          <w:tcPr>
            <w:tcW w:w="4531" w:type="dxa"/>
            <w:hideMark/>
          </w:tcPr>
          <w:p w14:paraId="73D53461" w14:textId="76CE3593" w:rsidR="002E2CC2" w:rsidRPr="002E2CC2" w:rsidRDefault="002E2CC2" w:rsidP="001129BA">
            <w:pPr>
              <w:jc w:val="center"/>
              <w:rPr>
                <w:rFonts w:ascii="Arial" w:hAnsi="Arial" w:cs="Arial"/>
              </w:rPr>
            </w:pPr>
            <w:r w:rsidRPr="002E2CC2">
              <w:rPr>
                <w:rFonts w:ascii="Arial" w:hAnsi="Arial" w:cs="Arial"/>
              </w:rPr>
              <w:t>Ing. Stanislav Orság</w:t>
            </w:r>
            <w:r w:rsidR="00475733">
              <w:rPr>
                <w:rFonts w:ascii="Arial" w:hAnsi="Arial" w:cs="Arial"/>
              </w:rPr>
              <w:t xml:space="preserve"> v. r.</w:t>
            </w:r>
          </w:p>
        </w:tc>
      </w:tr>
      <w:tr w:rsidR="002E2CC2" w:rsidRPr="002E2CC2" w14:paraId="7BF5DFD7" w14:textId="77777777" w:rsidTr="002E2CC2">
        <w:tc>
          <w:tcPr>
            <w:tcW w:w="4531" w:type="dxa"/>
            <w:hideMark/>
          </w:tcPr>
          <w:p w14:paraId="2FA600BA" w14:textId="77777777" w:rsidR="002E2CC2" w:rsidRPr="002E2CC2" w:rsidRDefault="002E2CC2" w:rsidP="001129BA">
            <w:pPr>
              <w:jc w:val="center"/>
              <w:rPr>
                <w:rFonts w:ascii="Arial" w:hAnsi="Arial" w:cs="Arial"/>
              </w:rPr>
            </w:pPr>
            <w:r w:rsidRPr="002E2CC2">
              <w:rPr>
                <w:rFonts w:ascii="Arial" w:hAnsi="Arial" w:cs="Arial"/>
              </w:rPr>
              <w:t>místostarosta</w:t>
            </w:r>
          </w:p>
        </w:tc>
        <w:tc>
          <w:tcPr>
            <w:tcW w:w="4531" w:type="dxa"/>
            <w:hideMark/>
          </w:tcPr>
          <w:p w14:paraId="0E76BB23" w14:textId="77777777" w:rsidR="002E2CC2" w:rsidRPr="002E2CC2" w:rsidRDefault="002E2CC2" w:rsidP="001129BA">
            <w:pPr>
              <w:jc w:val="center"/>
              <w:rPr>
                <w:rFonts w:ascii="Arial" w:hAnsi="Arial" w:cs="Arial"/>
              </w:rPr>
            </w:pPr>
            <w:r w:rsidRPr="002E2CC2">
              <w:rPr>
                <w:rFonts w:ascii="Arial" w:hAnsi="Arial" w:cs="Arial"/>
              </w:rPr>
              <w:t>starosta</w:t>
            </w:r>
          </w:p>
        </w:tc>
      </w:tr>
    </w:tbl>
    <w:p w14:paraId="229928CD" w14:textId="77777777" w:rsidR="002E2CC2" w:rsidRPr="002E2CC2" w:rsidRDefault="002E2CC2" w:rsidP="002E2CC2">
      <w:pPr>
        <w:spacing w:before="120" w:after="0" w:line="240" w:lineRule="auto"/>
        <w:jc w:val="both"/>
        <w:rPr>
          <w:rFonts w:ascii="Arial" w:hAnsi="Arial" w:cs="Arial"/>
        </w:rPr>
      </w:pPr>
    </w:p>
    <w:p w14:paraId="68BF1750" w14:textId="77777777" w:rsidR="002E2CC2" w:rsidRPr="002E2CC2" w:rsidRDefault="002E2CC2" w:rsidP="002E2CC2">
      <w:pPr>
        <w:spacing w:before="120" w:after="0" w:line="240" w:lineRule="auto"/>
        <w:jc w:val="both"/>
        <w:rPr>
          <w:rFonts w:ascii="Arial" w:hAnsi="Arial" w:cs="Arial"/>
          <w:b/>
          <w:bCs/>
        </w:rPr>
      </w:pPr>
    </w:p>
    <w:p w14:paraId="68A3A219" w14:textId="77777777" w:rsidR="00082B9F" w:rsidRDefault="00082B9F" w:rsidP="00082B9F">
      <w:pPr>
        <w:spacing w:before="120" w:after="0" w:line="240" w:lineRule="auto"/>
        <w:jc w:val="both"/>
        <w:rPr>
          <w:rFonts w:ascii="Arial" w:hAnsi="Arial" w:cs="Arial"/>
        </w:rPr>
      </w:pPr>
    </w:p>
    <w:sectPr w:rsidR="00082B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085B30" w14:textId="77777777" w:rsidR="002A0BB0" w:rsidRDefault="002A0BB0" w:rsidP="00082B9F">
      <w:pPr>
        <w:spacing w:after="0" w:line="240" w:lineRule="auto"/>
      </w:pPr>
      <w:r>
        <w:separator/>
      </w:r>
    </w:p>
  </w:endnote>
  <w:endnote w:type="continuationSeparator" w:id="0">
    <w:p w14:paraId="30EE10E8" w14:textId="77777777" w:rsidR="002A0BB0" w:rsidRDefault="002A0BB0" w:rsidP="00082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19AAB0" w14:textId="77777777" w:rsidR="002A0BB0" w:rsidRDefault="002A0BB0" w:rsidP="00082B9F">
      <w:pPr>
        <w:spacing w:after="0" w:line="240" w:lineRule="auto"/>
      </w:pPr>
      <w:r>
        <w:separator/>
      </w:r>
    </w:p>
  </w:footnote>
  <w:footnote w:type="continuationSeparator" w:id="0">
    <w:p w14:paraId="58B193AF" w14:textId="77777777" w:rsidR="002A0BB0" w:rsidRDefault="002A0BB0" w:rsidP="00082B9F">
      <w:pPr>
        <w:spacing w:after="0" w:line="240" w:lineRule="auto"/>
      </w:pPr>
      <w:r>
        <w:continuationSeparator/>
      </w:r>
    </w:p>
  </w:footnote>
  <w:footnote w:id="1">
    <w:p w14:paraId="305B2D18" w14:textId="2B1DB525" w:rsidR="00082B9F" w:rsidRDefault="00082B9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82B9F">
        <w:t>§ 6 zákona č. 186/2016 Sb., o hazardních hrách, ve znění pozdějších předpisů</w:t>
      </w:r>
    </w:p>
  </w:footnote>
  <w:footnote w:id="2">
    <w:p w14:paraId="4247ED21" w14:textId="26974508" w:rsidR="00082B9F" w:rsidRDefault="00082B9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82B9F">
        <w:t>např. podle zákona č. 251/2016 Sb., o některých přestupcích, podle zákona č. 250/2016 Sb., o odpovědnosti za přestupky a řízení o nich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402E55"/>
    <w:multiLevelType w:val="hybridMultilevel"/>
    <w:tmpl w:val="7922B258"/>
    <w:lvl w:ilvl="0" w:tplc="4B72A6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E47CB"/>
    <w:multiLevelType w:val="hybridMultilevel"/>
    <w:tmpl w:val="0FFA569A"/>
    <w:lvl w:ilvl="0" w:tplc="4B72A6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B6D98"/>
    <w:multiLevelType w:val="hybridMultilevel"/>
    <w:tmpl w:val="0E0C1CEE"/>
    <w:lvl w:ilvl="0" w:tplc="FC6C733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080063"/>
    <w:multiLevelType w:val="hybridMultilevel"/>
    <w:tmpl w:val="2D3EECA8"/>
    <w:lvl w:ilvl="0" w:tplc="185CDE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D94500"/>
    <w:multiLevelType w:val="hybridMultilevel"/>
    <w:tmpl w:val="86F0477E"/>
    <w:lvl w:ilvl="0" w:tplc="4B72A6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9A16CF"/>
    <w:multiLevelType w:val="hybridMultilevel"/>
    <w:tmpl w:val="305A54D6"/>
    <w:lvl w:ilvl="0" w:tplc="75CEC274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EB213A"/>
    <w:multiLevelType w:val="hybridMultilevel"/>
    <w:tmpl w:val="6F2E989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4B72A69E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0875EA"/>
    <w:multiLevelType w:val="hybridMultilevel"/>
    <w:tmpl w:val="D7C8B24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4B72A69E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6F5CD0"/>
    <w:multiLevelType w:val="hybridMultilevel"/>
    <w:tmpl w:val="D782237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DE138A"/>
    <w:multiLevelType w:val="hybridMultilevel"/>
    <w:tmpl w:val="8E524C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7936FF"/>
    <w:multiLevelType w:val="hybridMultilevel"/>
    <w:tmpl w:val="61D4647A"/>
    <w:lvl w:ilvl="0" w:tplc="20F2588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7F185ABE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4B72A69E">
      <w:start w:val="1"/>
      <w:numFmt w:val="decimal"/>
      <w:lvlText w:val="(%3)"/>
      <w:lvlJc w:val="left"/>
      <w:pPr>
        <w:ind w:left="2370" w:hanging="390"/>
      </w:pPr>
      <w:rPr>
        <w:rFonts w:hint="default"/>
      </w:rPr>
    </w:lvl>
    <w:lvl w:ilvl="3" w:tplc="522257E8">
      <w:numFmt w:val="bullet"/>
      <w:lvlText w:val="-"/>
      <w:lvlJc w:val="left"/>
      <w:pPr>
        <w:ind w:left="2880" w:hanging="360"/>
      </w:pPr>
      <w:rPr>
        <w:rFonts w:ascii="Arial" w:eastAsiaTheme="minorHAnsi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EB3242"/>
    <w:multiLevelType w:val="hybridMultilevel"/>
    <w:tmpl w:val="B32ACD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E57ACF"/>
    <w:multiLevelType w:val="hybridMultilevel"/>
    <w:tmpl w:val="98EC06C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9A2D38"/>
    <w:multiLevelType w:val="hybridMultilevel"/>
    <w:tmpl w:val="FB163B74"/>
    <w:lvl w:ilvl="0" w:tplc="185CDE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CF289E"/>
    <w:multiLevelType w:val="hybridMultilevel"/>
    <w:tmpl w:val="58CAC2EA"/>
    <w:lvl w:ilvl="0" w:tplc="06229E7A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1108940">
    <w:abstractNumId w:val="10"/>
  </w:num>
  <w:num w:numId="2" w16cid:durableId="1896773842">
    <w:abstractNumId w:val="8"/>
  </w:num>
  <w:num w:numId="3" w16cid:durableId="697046300">
    <w:abstractNumId w:val="13"/>
  </w:num>
  <w:num w:numId="4" w16cid:durableId="1767849261">
    <w:abstractNumId w:val="0"/>
  </w:num>
  <w:num w:numId="5" w16cid:durableId="1506701222">
    <w:abstractNumId w:val="14"/>
  </w:num>
  <w:num w:numId="6" w16cid:durableId="945577371">
    <w:abstractNumId w:val="9"/>
  </w:num>
  <w:num w:numId="7" w16cid:durableId="1278492037">
    <w:abstractNumId w:val="3"/>
  </w:num>
  <w:num w:numId="8" w16cid:durableId="1995793789">
    <w:abstractNumId w:val="6"/>
  </w:num>
  <w:num w:numId="9" w16cid:durableId="715348075">
    <w:abstractNumId w:val="5"/>
  </w:num>
  <w:num w:numId="10" w16cid:durableId="1350185355">
    <w:abstractNumId w:val="4"/>
  </w:num>
  <w:num w:numId="11" w16cid:durableId="1772584627">
    <w:abstractNumId w:val="7"/>
  </w:num>
  <w:num w:numId="12" w16cid:durableId="999046375">
    <w:abstractNumId w:val="1"/>
  </w:num>
  <w:num w:numId="13" w16cid:durableId="401636716">
    <w:abstractNumId w:val="2"/>
  </w:num>
  <w:num w:numId="14" w16cid:durableId="20742227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018754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B2B"/>
    <w:rsid w:val="00082B9F"/>
    <w:rsid w:val="000E5590"/>
    <w:rsid w:val="00110AE1"/>
    <w:rsid w:val="001129BA"/>
    <w:rsid w:val="001C1E93"/>
    <w:rsid w:val="001D3F26"/>
    <w:rsid w:val="002A0BB0"/>
    <w:rsid w:val="002E135C"/>
    <w:rsid w:val="002E2CC2"/>
    <w:rsid w:val="003E1042"/>
    <w:rsid w:val="00475733"/>
    <w:rsid w:val="004C2EE4"/>
    <w:rsid w:val="0050471A"/>
    <w:rsid w:val="00681CA9"/>
    <w:rsid w:val="00726B2B"/>
    <w:rsid w:val="007512CF"/>
    <w:rsid w:val="00781F78"/>
    <w:rsid w:val="007E59EF"/>
    <w:rsid w:val="00804C51"/>
    <w:rsid w:val="00817199"/>
    <w:rsid w:val="00835DE0"/>
    <w:rsid w:val="009557BE"/>
    <w:rsid w:val="009D1BCA"/>
    <w:rsid w:val="00A70813"/>
    <w:rsid w:val="00AB2209"/>
    <w:rsid w:val="00B55310"/>
    <w:rsid w:val="00BB3F7B"/>
    <w:rsid w:val="00BE436A"/>
    <w:rsid w:val="00C40470"/>
    <w:rsid w:val="00C42957"/>
    <w:rsid w:val="00C45F12"/>
    <w:rsid w:val="00C76B1B"/>
    <w:rsid w:val="00D92139"/>
    <w:rsid w:val="00DC3BD1"/>
    <w:rsid w:val="00E21F3B"/>
    <w:rsid w:val="00E41040"/>
    <w:rsid w:val="00E42E24"/>
    <w:rsid w:val="00E4478B"/>
    <w:rsid w:val="00F13137"/>
    <w:rsid w:val="00F64D3F"/>
    <w:rsid w:val="00FC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7C62B"/>
  <w15:chartTrackingRefBased/>
  <w15:docId w15:val="{29369805-BC8A-4DE5-A692-064FAA747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81CA9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82B9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82B9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82B9F"/>
    <w:rPr>
      <w:vertAlign w:val="superscript"/>
    </w:rPr>
  </w:style>
  <w:style w:type="table" w:styleId="Mkatabulky">
    <w:name w:val="Table Grid"/>
    <w:basedOn w:val="Normlntabulka"/>
    <w:uiPriority w:val="39"/>
    <w:rsid w:val="002E2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93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56C3D-D68F-4DB6-B3AE-AC924174A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1120</Words>
  <Characters>6608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Studecká Naděžda, Ing.</dc:creator>
  <cp:keywords/>
  <dc:description/>
  <cp:lastModifiedBy>Studecká Naděžda, Ing.</cp:lastModifiedBy>
  <cp:revision>4</cp:revision>
  <dcterms:created xsi:type="dcterms:W3CDTF">2024-09-23T08:40:00Z</dcterms:created>
  <dcterms:modified xsi:type="dcterms:W3CDTF">2024-09-27T06:14:00Z</dcterms:modified>
</cp:coreProperties>
</file>