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2EEB" w14:textId="77777777" w:rsidR="00B2146B" w:rsidRDefault="00B2146B" w:rsidP="00B214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Mžany</w:t>
      </w:r>
    </w:p>
    <w:p w14:paraId="37E7A7AB" w14:textId="77777777" w:rsidR="00B2146B" w:rsidRDefault="00B2146B" w:rsidP="00B214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D180ABC" w14:textId="77777777" w:rsidR="00B2146B" w:rsidRDefault="00B2146B" w:rsidP="00B2146B">
      <w:pPr>
        <w:spacing w:line="276" w:lineRule="auto"/>
        <w:jc w:val="center"/>
      </w:pPr>
      <w:r>
        <w:rPr>
          <w:noProof/>
        </w:rPr>
        <w:drawing>
          <wp:inline distT="0" distB="0" distL="0" distR="0" wp14:anchorId="4E586A4A" wp14:editId="30F27D70">
            <wp:extent cx="640080" cy="662940"/>
            <wp:effectExtent l="0" t="0" r="7620" b="3810"/>
            <wp:docPr id="100820095" name="Obrázek 1" descr="Mžany,znak,b,v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62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533947" w14:textId="30E1BE6C" w:rsidR="002A4ED2" w:rsidRPr="0052307C" w:rsidRDefault="00B2146B" w:rsidP="00B2146B">
      <w:pPr>
        <w:pStyle w:val="Nzev"/>
        <w:rPr>
          <w:rFonts w:cs="Arial"/>
        </w:rPr>
      </w:pPr>
      <w:r>
        <w:rPr>
          <w:rFonts w:cs="Arial"/>
          <w:b w:val="0"/>
        </w:rPr>
        <w:t>-----------------------------------------------------------------------------------------------------------------</w:t>
      </w:r>
    </w:p>
    <w:p w14:paraId="4CC91C74" w14:textId="5F5309D4" w:rsidR="002A4ED2" w:rsidRPr="0052307C" w:rsidRDefault="002A4ED2" w:rsidP="002A4ED2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 xml:space="preserve">Obecně závazná vyhláška obce </w:t>
      </w:r>
      <w:r w:rsidR="001F3428">
        <w:rPr>
          <w:rFonts w:ascii="Arial" w:hAnsi="Arial" w:cs="Arial"/>
          <w:b/>
          <w:bCs/>
        </w:rPr>
        <w:t>Mžany</w:t>
      </w:r>
      <w:r w:rsidR="00B2146B">
        <w:rPr>
          <w:rFonts w:ascii="Arial" w:hAnsi="Arial" w:cs="Arial"/>
          <w:b/>
          <w:bCs/>
        </w:rPr>
        <w:t>,</w:t>
      </w:r>
    </w:p>
    <w:p w14:paraId="6EC0A58D" w14:textId="33B86F22"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 xml:space="preserve">v obci </w:t>
      </w:r>
      <w:r w:rsidR="001F3428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Mžany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58CEBBBE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1F342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Mžany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B2146B">
        <w:rPr>
          <w:rFonts w:ascii="Arial" w:hAnsi="Arial"/>
          <w:sz w:val="22"/>
          <w:szCs w:val="22"/>
        </w:rPr>
        <w:t>10.04.</w:t>
      </w:r>
      <w:r w:rsidR="001F3428">
        <w:rPr>
          <w:rFonts w:ascii="Arial" w:hAnsi="Arial"/>
          <w:sz w:val="22"/>
          <w:szCs w:val="22"/>
        </w:rPr>
        <w:t>2025</w:t>
      </w:r>
      <w:r w:rsidR="006D0EF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FAB3356" w14:textId="77777777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6A3C9703" w14:textId="0B1183EB" w:rsidR="00482AF3" w:rsidRDefault="006D0EFB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4147C9" w:rsidRPr="006D0EFB">
        <w:rPr>
          <w:rFonts w:ascii="Arial" w:hAnsi="Arial"/>
        </w:rPr>
        <w:t xml:space="preserve">na </w:t>
      </w:r>
      <w:r w:rsidR="004147C9" w:rsidRPr="00C550CE">
        <w:rPr>
          <w:rFonts w:ascii="Arial" w:hAnsi="Arial"/>
        </w:rPr>
        <w:t xml:space="preserve">všech veřejných prostranstvích </w:t>
      </w:r>
      <w:r w:rsidR="00602CEC" w:rsidRPr="00C550CE">
        <w:rPr>
          <w:rFonts w:ascii="Arial" w:hAnsi="Arial"/>
        </w:rPr>
        <w:t>v zastavěném</w:t>
      </w:r>
      <w:r w:rsidR="00790E81" w:rsidRPr="00C550CE">
        <w:rPr>
          <w:rFonts w:ascii="Arial" w:hAnsi="Arial"/>
        </w:rPr>
        <w:t xml:space="preserve"> území</w:t>
      </w:r>
      <w:r w:rsidRPr="00C550CE">
        <w:rPr>
          <w:rFonts w:ascii="Arial" w:hAnsi="Arial"/>
        </w:rPr>
        <w:t xml:space="preserve"> </w:t>
      </w:r>
      <w:r w:rsidR="004147C9" w:rsidRPr="006D0EFB">
        <w:rPr>
          <w:rFonts w:ascii="Arial" w:hAnsi="Arial"/>
        </w:rPr>
        <w:t>obc</w:t>
      </w:r>
      <w:r w:rsidRPr="006D0EFB">
        <w:rPr>
          <w:rFonts w:ascii="Arial" w:hAnsi="Arial"/>
        </w:rPr>
        <w:t>e</w:t>
      </w:r>
      <w:r w:rsidR="004147C9" w:rsidRPr="006D0EFB">
        <w:rPr>
          <w:rFonts w:ascii="Arial" w:hAnsi="Arial"/>
        </w:rPr>
        <w:t xml:space="preserve"> je možný pohyb psů pouze</w:t>
      </w:r>
      <w:r w:rsidRPr="006D0EFB">
        <w:rPr>
          <w:rFonts w:ascii="Arial" w:hAnsi="Arial"/>
        </w:rPr>
        <w:t xml:space="preserve"> na</w:t>
      </w:r>
      <w:r>
        <w:rPr>
          <w:rFonts w:ascii="Arial" w:hAnsi="Arial"/>
        </w:rPr>
        <w:t xml:space="preserve"> </w:t>
      </w:r>
      <w:r w:rsidRPr="006D0EFB">
        <w:rPr>
          <w:rFonts w:ascii="Arial" w:hAnsi="Arial"/>
        </w:rPr>
        <w:t>vodítku</w:t>
      </w:r>
      <w:r w:rsidR="00482AF3">
        <w:rPr>
          <w:rFonts w:ascii="Arial" w:hAnsi="Arial"/>
        </w:rPr>
        <w:t>,</w:t>
      </w:r>
    </w:p>
    <w:p w14:paraId="25DD321A" w14:textId="4F5ACCE7" w:rsidR="004D5CAF" w:rsidRPr="006D0EFB" w:rsidRDefault="00482AF3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přístupn</w:t>
      </w:r>
      <w:r w:rsidR="00691E9E">
        <w:rPr>
          <w:rFonts w:ascii="Arial" w:hAnsi="Arial"/>
        </w:rPr>
        <w:t>á</w:t>
      </w:r>
      <w:r>
        <w:rPr>
          <w:rFonts w:ascii="Arial" w:hAnsi="Arial"/>
        </w:rPr>
        <w:t xml:space="preserve"> </w:t>
      </w:r>
      <w:r w:rsidRPr="00482AF3">
        <w:rPr>
          <w:rFonts w:ascii="Arial" w:hAnsi="Arial"/>
          <w:b/>
          <w:bCs/>
        </w:rPr>
        <w:t>dětsk</w:t>
      </w:r>
      <w:r w:rsidR="00691E9E">
        <w:rPr>
          <w:rFonts w:ascii="Arial" w:hAnsi="Arial"/>
          <w:b/>
          <w:bCs/>
        </w:rPr>
        <w:t>á</w:t>
      </w:r>
      <w:r w:rsidRPr="00482AF3">
        <w:rPr>
          <w:rFonts w:ascii="Arial" w:hAnsi="Arial"/>
          <w:b/>
          <w:bCs/>
        </w:rPr>
        <w:t xml:space="preserve"> hřiště </w:t>
      </w:r>
      <w:r w:rsidR="00691E9E">
        <w:rPr>
          <w:rFonts w:ascii="Arial" w:hAnsi="Arial"/>
          <w:b/>
          <w:bCs/>
        </w:rPr>
        <w:t xml:space="preserve">a pískoviště </w:t>
      </w:r>
      <w:r>
        <w:rPr>
          <w:rFonts w:ascii="Arial" w:hAnsi="Arial"/>
        </w:rPr>
        <w:t>je vstup psů</w:t>
      </w:r>
      <w:r w:rsidR="004D1525">
        <w:rPr>
          <w:rFonts w:ascii="Arial" w:hAnsi="Arial"/>
        </w:rPr>
        <w:t>m</w:t>
      </w:r>
      <w:r>
        <w:rPr>
          <w:rFonts w:ascii="Arial" w:hAnsi="Arial"/>
        </w:rPr>
        <w:t xml:space="preserve"> zakázán.</w:t>
      </w:r>
      <w:r w:rsidR="004147C9" w:rsidRPr="006D0EFB">
        <w:rPr>
          <w:rFonts w:ascii="Arial" w:hAnsi="Arial"/>
        </w:rPr>
        <w:t xml:space="preserve"> </w:t>
      </w:r>
    </w:p>
    <w:p w14:paraId="31D7CA57" w14:textId="5B74A0B1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154B7A3F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 w:rsidR="00C86308">
        <w:rPr>
          <w:rFonts w:ascii="Arial" w:hAnsi="Arial"/>
        </w:rPr>
        <w:t>.</w:t>
      </w:r>
    </w:p>
    <w:p w14:paraId="6471F90C" w14:textId="35FC5AAA" w:rsidR="00845443" w:rsidRPr="00845443" w:rsidRDefault="00845443" w:rsidP="0084544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77187571" w14:textId="77777777" w:rsidR="00B2146B" w:rsidRDefault="00B2146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2B342669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 w:rsidR="00BE0C9C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11358F55" w14:textId="65B661C1" w:rsidR="004D5CAF" w:rsidRPr="009B0262" w:rsidRDefault="009B0262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14:paraId="132EEA6B" w14:textId="68C33221" w:rsidR="000A35F4" w:rsidRPr="00011822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011822">
        <w:rPr>
          <w:rFonts w:ascii="Arial" w:eastAsia="Times New Roman" w:hAnsi="Arial" w:cs="Arial"/>
          <w:color w:val="auto"/>
          <w:bdr w:val="none" w:sz="0" w:space="0" w:color="auto"/>
        </w:rPr>
        <w:t xml:space="preserve">Zrušuje se obecně závazná vyhláška obce </w:t>
      </w:r>
      <w:r w:rsidR="00011822" w:rsidRPr="00011822">
        <w:rPr>
          <w:rFonts w:ascii="Arial" w:eastAsia="Times New Roman" w:hAnsi="Arial" w:cs="Arial"/>
          <w:color w:val="auto"/>
          <w:bdr w:val="none" w:sz="0" w:space="0" w:color="auto"/>
        </w:rPr>
        <w:t>Mžany</w:t>
      </w:r>
      <w:r w:rsidRPr="00011822">
        <w:rPr>
          <w:rFonts w:ascii="Arial" w:eastAsia="Times New Roman" w:hAnsi="Arial" w:cs="Arial"/>
          <w:color w:val="auto"/>
          <w:bdr w:val="none" w:sz="0" w:space="0" w:color="auto"/>
        </w:rPr>
        <w:t xml:space="preserve"> č. </w:t>
      </w:r>
      <w:r w:rsidR="006E04DD" w:rsidRPr="00011822">
        <w:rPr>
          <w:rFonts w:ascii="Arial" w:eastAsia="Times New Roman" w:hAnsi="Arial" w:cs="Arial"/>
          <w:color w:val="auto"/>
          <w:bdr w:val="none" w:sz="0" w:space="0" w:color="auto"/>
        </w:rPr>
        <w:t>1/20</w:t>
      </w:r>
      <w:r w:rsidR="00011822" w:rsidRPr="00011822">
        <w:rPr>
          <w:rFonts w:ascii="Arial" w:eastAsia="Times New Roman" w:hAnsi="Arial" w:cs="Arial"/>
          <w:color w:val="auto"/>
          <w:bdr w:val="none" w:sz="0" w:space="0" w:color="auto"/>
        </w:rPr>
        <w:t>01</w:t>
      </w:r>
      <w:r w:rsidRPr="00011822"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r w:rsidR="00011822" w:rsidRPr="00011822">
        <w:rPr>
          <w:rFonts w:ascii="Arial" w:eastAsia="PingFang SC" w:hAnsi="Arial" w:cs="Arial"/>
        </w:rPr>
        <w:t>o regulaci pohybu psů a</w:t>
      </w:r>
      <w:r w:rsidR="00011822">
        <w:rPr>
          <w:rFonts w:ascii="Arial" w:eastAsia="PingFang SC" w:hAnsi="Arial" w:cs="Arial"/>
        </w:rPr>
        <w:t> </w:t>
      </w:r>
      <w:r w:rsidR="00011822" w:rsidRPr="00011822">
        <w:rPr>
          <w:rFonts w:ascii="Arial" w:eastAsia="PingFang SC" w:hAnsi="Arial" w:cs="Arial"/>
        </w:rPr>
        <w:t>jiného zvířectva na veřejném prostranství č. 1/2001</w:t>
      </w:r>
      <w:r w:rsidRPr="00011822">
        <w:rPr>
          <w:rFonts w:ascii="Arial" w:eastAsia="Times New Roman" w:hAnsi="Arial" w:cs="Arial"/>
          <w:color w:val="auto"/>
          <w:bdr w:val="none" w:sz="0" w:space="0" w:color="auto"/>
        </w:rPr>
        <w:t xml:space="preserve">, ze dne </w:t>
      </w:r>
      <w:r w:rsidR="00011822" w:rsidRPr="00011822">
        <w:rPr>
          <w:rFonts w:ascii="Arial" w:eastAsia="Times New Roman" w:hAnsi="Arial" w:cs="Arial"/>
          <w:color w:val="auto"/>
          <w:bdr w:val="none" w:sz="0" w:space="0" w:color="auto"/>
        </w:rPr>
        <w:t>25</w:t>
      </w:r>
      <w:r w:rsidRPr="00011822">
        <w:rPr>
          <w:rFonts w:ascii="Arial" w:eastAsia="Times New Roman" w:hAnsi="Arial" w:cs="Arial"/>
          <w:color w:val="auto"/>
          <w:bdr w:val="none" w:sz="0" w:space="0" w:color="auto"/>
        </w:rPr>
        <w:t xml:space="preserve">. </w:t>
      </w:r>
      <w:r w:rsidR="00011822" w:rsidRPr="00011822">
        <w:rPr>
          <w:rFonts w:ascii="Arial" w:eastAsia="Times New Roman" w:hAnsi="Arial" w:cs="Arial"/>
          <w:color w:val="auto"/>
          <w:bdr w:val="none" w:sz="0" w:space="0" w:color="auto"/>
        </w:rPr>
        <w:t>června</w:t>
      </w:r>
      <w:r w:rsidR="006E04DD" w:rsidRPr="00011822">
        <w:rPr>
          <w:rFonts w:ascii="Arial" w:eastAsia="Times New Roman" w:hAnsi="Arial" w:cs="Arial"/>
          <w:color w:val="auto"/>
          <w:bdr w:val="none" w:sz="0" w:space="0" w:color="auto"/>
        </w:rPr>
        <w:t xml:space="preserve"> 20</w:t>
      </w:r>
      <w:r w:rsidR="00011822" w:rsidRPr="00011822">
        <w:rPr>
          <w:rFonts w:ascii="Arial" w:eastAsia="Times New Roman" w:hAnsi="Arial" w:cs="Arial"/>
          <w:color w:val="auto"/>
          <w:bdr w:val="none" w:sz="0" w:space="0" w:color="auto"/>
        </w:rPr>
        <w:t>01</w:t>
      </w:r>
      <w:r w:rsidR="006E04DD" w:rsidRPr="00011822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048545EB" w14:textId="77777777" w:rsidR="000A35F4" w:rsidRPr="000A35F4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6CCEEC20" w14:textId="6193FCA1" w:rsidR="00011822" w:rsidRPr="000A35F4" w:rsidRDefault="00011822" w:rsidP="0001182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011822" w:rsidRPr="000A35F4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>Tato obecně závazná vyhláška nabývá účinnosti počátkem patnáctého dne následujícího po dni jejího vyhlášení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4ED2" w14:paraId="4D529BF0" w14:textId="77777777" w:rsidTr="00DB2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6F5E4" w14:textId="30A1EE15" w:rsidR="002A4ED2" w:rsidRDefault="00011822" w:rsidP="00DB277C">
            <w:pPr>
              <w:pStyle w:val="PodpisovePole"/>
            </w:pPr>
            <w:r>
              <w:t>Tomáš Valena</w:t>
            </w:r>
            <w:r w:rsidR="002A4ED2">
              <w:t xml:space="preserve"> v. r.</w:t>
            </w:r>
            <w:r w:rsidR="002A4ED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409A4" w14:textId="6E445C44" w:rsidR="002A4ED2" w:rsidRDefault="002A4ED2" w:rsidP="00DB277C">
            <w:pPr>
              <w:pStyle w:val="PodpisovePole"/>
            </w:pPr>
            <w:r>
              <w:t xml:space="preserve">Ing. </w:t>
            </w:r>
            <w:r w:rsidR="00011822">
              <w:t xml:space="preserve">Barbora Koblížková </w:t>
            </w:r>
            <w:r>
              <w:t>v. r.</w:t>
            </w:r>
            <w:r>
              <w:br/>
              <w:t xml:space="preserve"> místostarost</w:t>
            </w:r>
            <w:r w:rsidR="00011822">
              <w:t>ka</w:t>
            </w:r>
          </w:p>
        </w:tc>
      </w:tr>
      <w:tr w:rsidR="002A4ED2" w14:paraId="28F152F0" w14:textId="77777777" w:rsidTr="00DB2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52B56" w14:textId="77777777" w:rsidR="002A4ED2" w:rsidRDefault="002A4ED2" w:rsidP="00DB277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C8AB1" w14:textId="77777777" w:rsidR="002A4ED2" w:rsidRDefault="002A4ED2" w:rsidP="00DB277C">
            <w:pPr>
              <w:pStyle w:val="PodpisovePole"/>
            </w:pP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C2F5" w14:textId="77777777" w:rsidR="00304FD0" w:rsidRDefault="00304FD0">
      <w:r>
        <w:separator/>
      </w:r>
    </w:p>
  </w:endnote>
  <w:endnote w:type="continuationSeparator" w:id="0">
    <w:p w14:paraId="3AF1C9DD" w14:textId="77777777" w:rsidR="00304FD0" w:rsidRDefault="0030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721B" w14:textId="77777777" w:rsidR="00304FD0" w:rsidRDefault="00304FD0">
      <w:r>
        <w:separator/>
      </w:r>
    </w:p>
  </w:footnote>
  <w:footnote w:type="continuationSeparator" w:id="0">
    <w:p w14:paraId="0B503F9F" w14:textId="77777777" w:rsidR="00304FD0" w:rsidRDefault="00304FD0">
      <w:r>
        <w:continuationSeparator/>
      </w:r>
    </w:p>
  </w:footnote>
  <w:footnote w:type="continuationNotice" w:id="1">
    <w:p w14:paraId="0595F014" w14:textId="77777777" w:rsidR="00304FD0" w:rsidRDefault="00304FD0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1496412">
    <w:abstractNumId w:val="6"/>
  </w:num>
  <w:num w:numId="2" w16cid:durableId="1093937171">
    <w:abstractNumId w:val="1"/>
  </w:num>
  <w:num w:numId="3" w16cid:durableId="1436636036">
    <w:abstractNumId w:val="1"/>
    <w:lvlOverride w:ilvl="0">
      <w:lvl w:ilvl="0" w:tplc="AA8E856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62EF3E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1E148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D09A24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1CC198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943F1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C02C1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FA19F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AA11FA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76202748">
    <w:abstractNumId w:val="3"/>
  </w:num>
  <w:num w:numId="5" w16cid:durableId="1883396225">
    <w:abstractNumId w:val="0"/>
  </w:num>
  <w:num w:numId="6" w16cid:durableId="1305356299">
    <w:abstractNumId w:val="0"/>
    <w:lvlOverride w:ilvl="0">
      <w:lvl w:ilvl="0" w:tplc="26DC31BE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5EA004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1E2FB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E2BDA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F4E000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38517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BE3C3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9CFE8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9622B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80501507">
    <w:abstractNumId w:val="4"/>
  </w:num>
  <w:num w:numId="8" w16cid:durableId="359665070">
    <w:abstractNumId w:val="2"/>
    <w:lvlOverride w:ilvl="0">
      <w:lvl w:ilvl="0" w:tplc="E62CB860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589658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11822"/>
    <w:rsid w:val="000A35F4"/>
    <w:rsid w:val="000F0681"/>
    <w:rsid w:val="001203F5"/>
    <w:rsid w:val="001F3428"/>
    <w:rsid w:val="002529A2"/>
    <w:rsid w:val="00260655"/>
    <w:rsid w:val="0027446E"/>
    <w:rsid w:val="002A4ED2"/>
    <w:rsid w:val="00304FD0"/>
    <w:rsid w:val="003C1DEA"/>
    <w:rsid w:val="003F32F9"/>
    <w:rsid w:val="004147C9"/>
    <w:rsid w:val="00481AA0"/>
    <w:rsid w:val="00482AF3"/>
    <w:rsid w:val="004C258C"/>
    <w:rsid w:val="004D1525"/>
    <w:rsid w:val="004D5CAF"/>
    <w:rsid w:val="00571DB1"/>
    <w:rsid w:val="00592CB1"/>
    <w:rsid w:val="00597345"/>
    <w:rsid w:val="005B429F"/>
    <w:rsid w:val="00602CEC"/>
    <w:rsid w:val="00691E9E"/>
    <w:rsid w:val="006D0EFB"/>
    <w:rsid w:val="006D3E0F"/>
    <w:rsid w:val="006E04DD"/>
    <w:rsid w:val="00790E81"/>
    <w:rsid w:val="00845443"/>
    <w:rsid w:val="008844B6"/>
    <w:rsid w:val="008C2BC5"/>
    <w:rsid w:val="009077D8"/>
    <w:rsid w:val="009B0262"/>
    <w:rsid w:val="009B1EFB"/>
    <w:rsid w:val="00A64B80"/>
    <w:rsid w:val="00AC769E"/>
    <w:rsid w:val="00AE6D74"/>
    <w:rsid w:val="00B2146B"/>
    <w:rsid w:val="00B54873"/>
    <w:rsid w:val="00BA773C"/>
    <w:rsid w:val="00BE0C9C"/>
    <w:rsid w:val="00C04F08"/>
    <w:rsid w:val="00C16E49"/>
    <w:rsid w:val="00C550CE"/>
    <w:rsid w:val="00C63A4A"/>
    <w:rsid w:val="00C70D36"/>
    <w:rsid w:val="00C86308"/>
    <w:rsid w:val="00CB6618"/>
    <w:rsid w:val="00D06143"/>
    <w:rsid w:val="00E32193"/>
    <w:rsid w:val="00E857E2"/>
    <w:rsid w:val="00EC7B4D"/>
    <w:rsid w:val="00F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obec@mzany.cz</cp:lastModifiedBy>
  <cp:revision>9</cp:revision>
  <dcterms:created xsi:type="dcterms:W3CDTF">2025-02-13T05:06:00Z</dcterms:created>
  <dcterms:modified xsi:type="dcterms:W3CDTF">2025-04-10T17:53:00Z</dcterms:modified>
</cp:coreProperties>
</file>