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360" w:leader="none"/>
          <w:tab w:val="left" w:pos="720" w:leader="none"/>
          <w:tab w:val="left" w:pos="1080" w:leader="none"/>
        </w:tabs>
        <w:jc w:val="center"/>
        <w:rPr>
          <w:rFonts w:ascii="Arial" w:hAnsi="Arial" w:cs="Arial"/>
          <w:b/>
          <w:b/>
          <w:sz w:val="28"/>
          <w:szCs w:val="28"/>
        </w:rPr>
      </w:pPr>
      <w:r>
        <w:rPr>
          <w:rFonts w:cs="Arial" w:ascii="Arial" w:hAnsi="Arial"/>
          <w:b/>
          <w:sz w:val="28"/>
          <w:szCs w:val="28"/>
        </w:rPr>
        <w:t>Město Nové Město na Moravě</w:t>
        <w:br/>
      </w:r>
      <w:r>
        <w:rPr>
          <w:rFonts w:eastAsia="Times New Roman" w:cs="Arial" w:ascii="Arial" w:hAnsi="Arial"/>
          <w:b/>
          <w:color w:val="00000A"/>
          <w:kern w:val="0"/>
          <w:sz w:val="28"/>
          <w:szCs w:val="28"/>
          <w:lang w:val="cs-CZ" w:eastAsia="zh-CN" w:bidi="ar-SA"/>
        </w:rPr>
        <w:t>Rada</w:t>
      </w:r>
      <w:r>
        <w:rPr>
          <w:rFonts w:cs="Arial" w:ascii="Arial" w:hAnsi="Arial"/>
          <w:b/>
          <w:sz w:val="28"/>
          <w:szCs w:val="28"/>
        </w:rPr>
        <w:t xml:space="preserve"> města Nové Město na Moravě</w:t>
      </w:r>
    </w:p>
    <w:p>
      <w:pPr>
        <w:pStyle w:val="Normal"/>
        <w:tabs>
          <w:tab w:val="clear" w:pos="709"/>
          <w:tab w:val="left" w:pos="360" w:leader="none"/>
          <w:tab w:val="left" w:pos="720" w:leader="none"/>
          <w:tab w:val="left" w:pos="1080" w:leader="none"/>
        </w:tabs>
        <w:jc w:val="center"/>
        <w:rPr>
          <w:rFonts w:ascii="Arial" w:hAnsi="Arial"/>
          <w:b w:val="false"/>
          <w:b w:val="false"/>
          <w:bCs w:val="false"/>
          <w:sz w:val="22"/>
          <w:szCs w:val="22"/>
        </w:rPr>
      </w:pPr>
      <w:r>
        <w:rPr>
          <w:rFonts w:ascii="Arial" w:hAnsi="Arial"/>
          <w:b w:val="false"/>
          <w:bCs w:val="false"/>
          <w:sz w:val="22"/>
          <w:szCs w:val="22"/>
        </w:rPr>
      </w:r>
    </w:p>
    <w:p>
      <w:pPr>
        <w:pStyle w:val="Normal"/>
        <w:tabs>
          <w:tab w:val="clear" w:pos="709"/>
          <w:tab w:val="left" w:pos="360" w:leader="none"/>
          <w:tab w:val="left" w:pos="720" w:leader="none"/>
          <w:tab w:val="left" w:pos="1080" w:leader="none"/>
        </w:tabs>
        <w:jc w:val="center"/>
        <w:rPr>
          <w:rFonts w:ascii="Arial" w:hAnsi="Arial"/>
          <w:b w:val="false"/>
          <w:b w:val="false"/>
          <w:bCs w:val="false"/>
          <w:sz w:val="22"/>
          <w:szCs w:val="22"/>
        </w:rPr>
      </w:pPr>
      <w:r>
        <w:rPr>
          <w:rFonts w:ascii="Arial" w:hAnsi="Arial"/>
          <w:b w:val="false"/>
          <w:bCs w:val="false"/>
          <w:sz w:val="22"/>
          <w:szCs w:val="22"/>
        </w:rPr>
      </w:r>
    </w:p>
    <w:p>
      <w:pPr>
        <w:pStyle w:val="Normal"/>
        <w:tabs>
          <w:tab w:val="clear" w:pos="709"/>
          <w:tab w:val="left" w:pos="360" w:leader="none"/>
          <w:tab w:val="left" w:pos="720" w:leader="none"/>
          <w:tab w:val="left" w:pos="1080" w:leader="none"/>
        </w:tabs>
        <w:jc w:val="center"/>
        <w:rPr>
          <w:rFonts w:ascii="Arial" w:hAnsi="Arial"/>
          <w:b w:val="false"/>
          <w:b w:val="false"/>
          <w:bCs w:val="false"/>
          <w:sz w:val="22"/>
          <w:szCs w:val="22"/>
        </w:rPr>
      </w:pPr>
      <w:r>
        <w:rPr>
          <w:rFonts w:ascii="Arial" w:hAnsi="Arial"/>
          <w:b w:val="false"/>
          <w:bCs w:val="false"/>
          <w:sz w:val="22"/>
          <w:szCs w:val="22"/>
        </w:rPr>
      </w:r>
    </w:p>
    <w:p>
      <w:pPr>
        <w:pStyle w:val="Normal"/>
        <w:tabs>
          <w:tab w:val="clear" w:pos="709"/>
          <w:tab w:val="left" w:pos="360" w:leader="none"/>
          <w:tab w:val="left" w:pos="720" w:leader="none"/>
          <w:tab w:val="left" w:pos="1080" w:leader="none"/>
        </w:tabs>
        <w:jc w:val="center"/>
        <w:rPr>
          <w:rFonts w:ascii="Arial" w:hAnsi="Arial" w:cs="Arial"/>
          <w:b/>
          <w:b/>
          <w:sz w:val="28"/>
          <w:szCs w:val="28"/>
        </w:rPr>
      </w:pPr>
      <w:r>
        <w:rPr>
          <w:rFonts w:cs="Arial" w:ascii="Arial" w:hAnsi="Arial"/>
          <w:b/>
          <w:sz w:val="28"/>
          <w:szCs w:val="28"/>
        </w:rPr>
        <w:t>Nařízení města Nové Město na Moravě, kterým se vymezují oblasti města, ve kterých lze místní komunikace nebo jejich určené úseky užít ke stání vozidla za cenu sjednanou</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Rada města Nové Město na Moravě se na své 27. schůzi konané dne 25.03.2024 usnesením</w:t>
        <w:br/>
        <w:t>č. 17/27/RM/2024 usnesla vydat na základě ust. § 23 odst. 1 písm. a) a c) zákona č. 13/1997 Sb., o pozemních komunikacích, ve znění pozdějších předpisů, a v souladu s ust. § 11 odst. 1 a ust. § 102 odst. 2 písm. d) zákona č. 128/2000 Sb., o obcích (obecní zřízení), ve znění pozdějších předpisů, toto nařízení: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1</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Vymezení parkovišť s placeným parkováním</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Zkladntextimp"/>
        <w:tabs>
          <w:tab w:val="clear" w:pos="709"/>
          <w:tab w:val="left" w:pos="360" w:leader="none"/>
          <w:tab w:val="left" w:pos="720" w:leader="none"/>
          <w:tab w:val="left" w:pos="1080" w:leader="none"/>
        </w:tabs>
        <w:spacing w:before="0" w:after="0"/>
        <w:ind w:left="360" w:right="0" w:hanging="360"/>
        <w:jc w:val="both"/>
        <w:rPr>
          <w:rFonts w:ascii="Arial" w:hAnsi="Arial" w:cs="Arial"/>
          <w:sz w:val="22"/>
          <w:szCs w:val="22"/>
        </w:rPr>
      </w:pPr>
      <w:r>
        <w:rPr>
          <w:rFonts w:cs="Arial" w:ascii="Arial" w:hAnsi="Arial"/>
          <w:sz w:val="22"/>
          <w:szCs w:val="22"/>
        </w:rPr>
        <w:t>1.</w:t>
        <w:tab/>
        <w:t>Pro účely organizování dopravy na území města Nové Město na Moravě (dále jen „město“)</w:t>
        <w:br/>
        <w:t xml:space="preserve">se tímto nařízením vymezují oblasti města, ve kterých lze užít úseky místních komunikací, označené dopravním značením dle zvláštního právního předpisu, za cenu sjednanou v souladu s cenovými předpisy  </w:t>
      </w:r>
    </w:p>
    <w:p>
      <w:pPr>
        <w:pStyle w:val="Zkladntextimp"/>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a)</w:t>
        <w:tab/>
        <w:t>k stání silničního motorového vozidla na dobu časově omezenou,</w:t>
      </w:r>
    </w:p>
    <w:p>
      <w:pPr>
        <w:pStyle w:val="Zkladntextimp"/>
        <w:tabs>
          <w:tab w:val="clear" w:pos="709"/>
          <w:tab w:val="left" w:pos="360" w:leader="none"/>
          <w:tab w:val="left" w:pos="720" w:leader="none"/>
          <w:tab w:val="left" w:pos="1080" w:leader="none"/>
        </w:tabs>
        <w:spacing w:before="80" w:after="0"/>
        <w:ind w:left="709" w:right="0" w:hanging="709"/>
        <w:jc w:val="both"/>
        <w:rPr>
          <w:rFonts w:ascii="Arial" w:hAnsi="Arial" w:cs="Arial"/>
          <w:sz w:val="22"/>
          <w:szCs w:val="22"/>
        </w:rPr>
      </w:pPr>
      <w:r>
        <w:rPr>
          <w:rFonts w:cs="Arial" w:ascii="Arial" w:hAnsi="Arial"/>
          <w:sz w:val="22"/>
          <w:szCs w:val="22"/>
        </w:rPr>
        <w:tab/>
        <w:t>b)</w:t>
        <w:tab/>
        <w:t xml:space="preserve">k stání silničního motorového vozidla provozovaného právnickou nebo fyzickou osobou za účelem podnikání, která má sídlo nebo provozovnu ve vymezené oblasti města nebo k stání silničního motorového vozidla fyzické osoby, která má místo trvalého pobytu nebo je vlastníkem nemovitosti ve vymezené oblasti města, </w:t>
      </w:r>
    </w:p>
    <w:p>
      <w:pPr>
        <w:pStyle w:val="Zkladntextimp"/>
        <w:tabs>
          <w:tab w:val="clear" w:pos="709"/>
          <w:tab w:val="left" w:pos="360" w:leader="none"/>
          <w:tab w:val="left" w:pos="720" w:leader="none"/>
          <w:tab w:val="left" w:pos="1080" w:leader="none"/>
        </w:tabs>
        <w:spacing w:before="80" w:after="0"/>
        <w:ind w:left="357" w:right="0" w:hanging="0"/>
        <w:jc w:val="both"/>
        <w:rPr>
          <w:rFonts w:ascii="Arial" w:hAnsi="Arial" w:cs="Arial"/>
          <w:sz w:val="22"/>
          <w:szCs w:val="22"/>
        </w:rPr>
      </w:pPr>
      <w:r>
        <w:rPr>
          <w:rFonts w:cs="Arial" w:ascii="Arial" w:hAnsi="Arial"/>
          <w:sz w:val="22"/>
          <w:szCs w:val="22"/>
        </w:rPr>
        <w:t>nebude-li tímto užitím ohrožena bezpečnost a plynulost provozu na pozemních komunikacích a jiný veřejný zájem.</w:t>
      </w:r>
    </w:p>
    <w:p>
      <w:pPr>
        <w:pStyle w:val="Zkladntextimp"/>
        <w:tabs>
          <w:tab w:val="clear" w:pos="709"/>
          <w:tab w:val="left" w:pos="360" w:leader="none"/>
          <w:tab w:val="left" w:pos="720" w:leader="none"/>
          <w:tab w:val="left" w:pos="1080" w:leader="none"/>
        </w:tabs>
        <w:spacing w:before="0" w:after="0"/>
        <w:jc w:val="both"/>
        <w:rPr>
          <w:rFonts w:ascii="Arial" w:hAnsi="Arial" w:cs="Arial"/>
          <w:sz w:val="22"/>
          <w:szCs w:val="22"/>
        </w:rPr>
      </w:pPr>
      <w:r>
        <w:rPr>
          <w:rFonts w:cs="Arial" w:ascii="Arial" w:hAnsi="Arial"/>
          <w:sz w:val="22"/>
          <w:szCs w:val="22"/>
        </w:rPr>
      </w:r>
    </w:p>
    <w:p>
      <w:pPr>
        <w:pStyle w:val="Zkladntextimp"/>
        <w:tabs>
          <w:tab w:val="clear" w:pos="709"/>
          <w:tab w:val="left" w:pos="360" w:leader="none"/>
          <w:tab w:val="left" w:pos="720" w:leader="none"/>
          <w:tab w:val="left" w:pos="1080" w:leader="none"/>
        </w:tabs>
        <w:spacing w:before="0" w:after="0"/>
        <w:ind w:left="360" w:right="0" w:hanging="360"/>
        <w:jc w:val="both"/>
        <w:rPr>
          <w:rFonts w:ascii="Arial" w:hAnsi="Arial"/>
          <w:sz w:val="22"/>
          <w:szCs w:val="22"/>
        </w:rPr>
      </w:pPr>
      <w:r>
        <w:rPr>
          <w:rFonts w:cs="Arial" w:ascii="Arial" w:hAnsi="Arial"/>
          <w:sz w:val="22"/>
          <w:szCs w:val="22"/>
        </w:rPr>
        <w:t>2.</w:t>
        <w:tab/>
        <w:t>Oblastmi města, které se vymezují pro účely uvedené v čl. 1 odst. 1 tohoto nařízení (dále jen „placená parkoviště“), jsou tyto následující úseky:</w:t>
      </w:r>
    </w:p>
    <w:p>
      <w:pPr>
        <w:pStyle w:val="Zkladntextimp"/>
        <w:tabs>
          <w:tab w:val="clear" w:pos="709"/>
          <w:tab w:val="left" w:pos="360" w:leader="none"/>
          <w:tab w:val="left" w:pos="720" w:leader="none"/>
          <w:tab w:val="left" w:pos="1080" w:leader="none"/>
        </w:tabs>
        <w:spacing w:before="113" w:after="0"/>
        <w:jc w:val="both"/>
        <w:rPr>
          <w:rFonts w:ascii="Arial" w:hAnsi="Arial"/>
          <w:sz w:val="22"/>
          <w:szCs w:val="22"/>
        </w:rPr>
      </w:pPr>
      <w:r>
        <w:rPr>
          <w:rFonts w:eastAsia="Arial" w:cs="Arial" w:ascii="Arial" w:hAnsi="Arial"/>
          <w:sz w:val="22"/>
          <w:szCs w:val="22"/>
        </w:rPr>
        <w:tab/>
      </w:r>
      <w:r>
        <w:rPr>
          <w:rFonts w:cs="Arial" w:ascii="Arial" w:hAnsi="Arial"/>
          <w:sz w:val="22"/>
          <w:szCs w:val="22"/>
          <w:u w:val="single"/>
        </w:rPr>
        <w:t>a)</w:t>
        <w:tab/>
        <w:t xml:space="preserve">na Vratislavově náměstí </w:t>
      </w:r>
    </w:p>
    <w:p>
      <w:pPr>
        <w:pStyle w:val="Zkladntextimp"/>
        <w:tabs>
          <w:tab w:val="clear" w:pos="709"/>
          <w:tab w:val="left" w:pos="360" w:leader="none"/>
          <w:tab w:val="left" w:pos="720" w:leader="none"/>
          <w:tab w:val="left" w:pos="1080" w:leader="none"/>
        </w:tabs>
        <w:spacing w:before="80" w:after="0"/>
        <w:ind w:left="1080" w:right="0" w:hanging="1080"/>
        <w:jc w:val="both"/>
        <w:rPr>
          <w:rFonts w:ascii="Arial" w:hAnsi="Arial"/>
          <w:sz w:val="22"/>
          <w:szCs w:val="22"/>
        </w:rPr>
      </w:pPr>
      <w:r>
        <w:rPr>
          <w:rFonts w:cs="Arial" w:ascii="Arial" w:hAnsi="Arial"/>
          <w:sz w:val="22"/>
          <w:szCs w:val="22"/>
        </w:rPr>
        <w:tab/>
        <w:tab/>
        <w:t xml:space="preserve">- </w:t>
        <w:tab/>
        <w:t>placené parkoviště v úseku od objektu č. p. 12 (budova polikliniky) po objekt č. p. 4,</w:t>
        <w:br/>
        <w:t>po obou stranách komunikace,</w:t>
      </w:r>
    </w:p>
    <w:p>
      <w:pPr>
        <w:pStyle w:val="Normal"/>
        <w:tabs>
          <w:tab w:val="clear" w:pos="709"/>
          <w:tab w:val="left" w:pos="360" w:leader="none"/>
          <w:tab w:val="left" w:pos="720" w:leader="none"/>
          <w:tab w:val="left" w:pos="1080" w:leader="none"/>
        </w:tabs>
        <w:spacing w:before="80" w:after="0"/>
        <w:ind w:left="1080" w:right="0" w:hanging="1080"/>
        <w:jc w:val="both"/>
        <w:rPr>
          <w:rFonts w:ascii="Arial" w:hAnsi="Arial"/>
          <w:sz w:val="22"/>
          <w:szCs w:val="22"/>
        </w:rPr>
      </w:pPr>
      <w:r>
        <w:rPr>
          <w:rFonts w:cs="Arial" w:ascii="Arial" w:hAnsi="Arial"/>
          <w:sz w:val="22"/>
          <w:szCs w:val="22"/>
        </w:rPr>
        <w:tab/>
        <w:tab/>
        <w:t xml:space="preserve">- </w:t>
        <w:tab/>
        <w:t>placené parkoviště v úseku od objektu č. p. 114 (budova Horáckého muzea) po objekt č. p. 119 (budova lékárny), po obou stranách komunikace,</w:t>
      </w:r>
    </w:p>
    <w:p>
      <w:pPr>
        <w:pStyle w:val="Normal"/>
        <w:widowControl/>
        <w:tabs>
          <w:tab w:val="clear" w:pos="709"/>
          <w:tab w:val="left" w:pos="720" w:leader="none"/>
          <w:tab w:val="left" w:pos="1080" w:leader="none"/>
        </w:tabs>
        <w:suppressAutoHyphens w:val="true"/>
        <w:bidi w:val="0"/>
        <w:spacing w:before="80" w:after="0"/>
        <w:ind w:left="1077" w:right="0" w:hanging="397"/>
        <w:jc w:val="both"/>
        <w:rPr>
          <w:rFonts w:ascii="Arial" w:hAnsi="Arial"/>
          <w:sz w:val="22"/>
          <w:szCs w:val="22"/>
        </w:rPr>
      </w:pPr>
      <w:r>
        <w:rPr>
          <w:rFonts w:cs="Arial" w:ascii="Arial" w:hAnsi="Arial"/>
          <w:sz w:val="22"/>
          <w:szCs w:val="22"/>
        </w:rPr>
        <w:t xml:space="preserve">- </w:t>
        <w:tab/>
        <w:t>placené parkoviště v úseku od objektu č. p. 88 po objekt č. p. 98, po obou stranách</w:t>
        <w:tab/>
        <w:t>komunikace,</w:t>
      </w:r>
    </w:p>
    <w:p>
      <w:pPr>
        <w:pStyle w:val="Normal"/>
        <w:tabs>
          <w:tab w:val="clear" w:pos="709"/>
          <w:tab w:val="left" w:pos="360" w:leader="none"/>
          <w:tab w:val="left" w:pos="720" w:leader="none"/>
          <w:tab w:val="left" w:pos="1080" w:leader="none"/>
        </w:tabs>
        <w:spacing w:before="80" w:after="0"/>
        <w:jc w:val="both"/>
        <w:rPr>
          <w:rFonts w:ascii="Arial" w:hAnsi="Arial"/>
          <w:sz w:val="22"/>
          <w:szCs w:val="22"/>
        </w:rPr>
      </w:pPr>
      <w:r>
        <w:rPr>
          <w:rFonts w:cs="Arial" w:ascii="Arial" w:hAnsi="Arial"/>
          <w:sz w:val="22"/>
          <w:szCs w:val="22"/>
        </w:rPr>
        <w:tab/>
        <w:tab/>
        <w:t>-</w:t>
      </w:r>
      <w:r>
        <w:rPr>
          <w:rFonts w:cs="Arial" w:ascii="Arial" w:hAnsi="Arial"/>
          <w:sz w:val="22"/>
          <w:szCs w:val="22"/>
          <w:shd w:fill="auto" w:val="clear"/>
        </w:rPr>
        <w:tab/>
        <w:t>placené parkoviště v úseku před objektem č. p. 103 (budova Městského úřadu),</w:t>
      </w:r>
    </w:p>
    <w:p>
      <w:pPr>
        <w:pStyle w:val="Normal"/>
        <w:tabs>
          <w:tab w:val="clear" w:pos="709"/>
          <w:tab w:val="left" w:pos="360" w:leader="none"/>
          <w:tab w:val="left" w:pos="720" w:leader="none"/>
          <w:tab w:val="left" w:pos="1080" w:leader="none"/>
        </w:tabs>
        <w:spacing w:before="80" w:after="0"/>
        <w:jc w:val="both"/>
        <w:rPr>
          <w:rFonts w:ascii="Arial" w:hAnsi="Arial"/>
          <w:sz w:val="22"/>
          <w:szCs w:val="22"/>
        </w:rPr>
      </w:pPr>
      <w:r>
        <w:rPr>
          <w:rFonts w:cs="Arial" w:ascii="Arial" w:hAnsi="Arial"/>
          <w:sz w:val="22"/>
          <w:szCs w:val="22"/>
          <w:shd w:fill="auto" w:val="clear"/>
        </w:rPr>
        <w:tab/>
        <w:tab/>
        <w:t>-</w:t>
        <w:tab/>
        <w:t>placené parkoviště před objektem č. p. 3 (u „staré pošty“)</w:t>
      </w:r>
    </w:p>
    <w:p>
      <w:pPr>
        <w:pStyle w:val="Normal"/>
        <w:tabs>
          <w:tab w:val="clear" w:pos="709"/>
          <w:tab w:val="left" w:pos="360" w:leader="none"/>
          <w:tab w:val="left" w:pos="720" w:leader="none"/>
          <w:tab w:val="left" w:pos="1080" w:leader="none"/>
        </w:tabs>
        <w:jc w:val="both"/>
        <w:rPr>
          <w:rFonts w:ascii="Arial" w:hAnsi="Arial"/>
          <w:sz w:val="22"/>
          <w:szCs w:val="22"/>
        </w:rPr>
      </w:pPr>
      <w:r>
        <w:rPr>
          <w:rFonts w:ascii="Arial" w:hAnsi="Arial"/>
          <w:sz w:val="22"/>
          <w:szCs w:val="22"/>
        </w:rPr>
      </w:r>
    </w:p>
    <w:p>
      <w:pPr>
        <w:pStyle w:val="Normal"/>
        <w:tabs>
          <w:tab w:val="clear" w:pos="709"/>
          <w:tab w:val="left" w:pos="360" w:leader="none"/>
          <w:tab w:val="left" w:pos="720" w:leader="none"/>
          <w:tab w:val="left" w:pos="1080" w:leader="none"/>
        </w:tabs>
        <w:ind w:left="708" w:right="0" w:hanging="708"/>
        <w:jc w:val="both"/>
        <w:rPr>
          <w:rFonts w:ascii="Arial" w:hAnsi="Arial"/>
          <w:sz w:val="22"/>
          <w:szCs w:val="22"/>
        </w:rPr>
      </w:pPr>
      <w:r>
        <w:rPr>
          <w:rFonts w:cs="Arial" w:ascii="Arial" w:hAnsi="Arial"/>
          <w:sz w:val="22"/>
          <w:szCs w:val="22"/>
        </w:rPr>
        <w:tab/>
        <w:t>b</w:t>
      </w:r>
      <w:r>
        <w:rPr>
          <w:rFonts w:cs="Arial" w:ascii="Arial" w:hAnsi="Arial"/>
          <w:sz w:val="22"/>
          <w:szCs w:val="22"/>
          <w:u w:val="single"/>
        </w:rPr>
        <w:t xml:space="preserve">) </w:t>
        <w:tab/>
        <w:t>na Palackého náměstí</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cs="Arial" w:ascii="Arial" w:hAnsi="Arial"/>
          <w:sz w:val="22"/>
          <w:szCs w:val="22"/>
        </w:rPr>
        <w:tab/>
        <w:tab/>
        <w:t>-</w:t>
        <w:tab/>
        <w:t>placené parkoviště před objektem  č. p. 32</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ascii="Arial" w:hAnsi="Arial"/>
          <w:sz w:val="22"/>
          <w:szCs w:val="22"/>
        </w:rPr>
      </w:r>
    </w:p>
    <w:p>
      <w:pPr>
        <w:pStyle w:val="Normal"/>
        <w:tabs>
          <w:tab w:val="left" w:pos="360" w:leader="none"/>
          <w:tab w:val="left" w:pos="709" w:leader="none"/>
        </w:tabs>
        <w:jc w:val="both"/>
        <w:rPr>
          <w:rFonts w:ascii="Arial" w:hAnsi="Arial"/>
          <w:sz w:val="22"/>
          <w:szCs w:val="22"/>
        </w:rPr>
      </w:pPr>
      <w:r>
        <w:rPr>
          <w:rFonts w:cs="Arial" w:ascii="Arial" w:hAnsi="Arial"/>
          <w:sz w:val="22"/>
          <w:szCs w:val="22"/>
        </w:rPr>
        <w:t>3.</w:t>
        <w:tab/>
        <w:t>Placená parkoviště jsou vymezena příslušnou dopravní značkou č. IZ 8a, IZ 8b a IP</w:t>
      </w:r>
      <w:r>
        <w:rPr>
          <w:rFonts w:eastAsia="Arial" w:cs="Arial" w:ascii="Arial" w:hAnsi="Arial"/>
          <w:sz w:val="22"/>
          <w:szCs w:val="22"/>
        </w:rPr>
        <w:t xml:space="preserve"> </w:t>
      </w:r>
      <w:r>
        <w:rPr>
          <w:rFonts w:cs="Arial" w:ascii="Arial" w:hAnsi="Arial"/>
          <w:sz w:val="22"/>
          <w:szCs w:val="22"/>
        </w:rPr>
        <w:t>13c.</w:t>
      </w:r>
    </w:p>
    <w:p>
      <w:pPr>
        <w:pStyle w:val="Normal"/>
        <w:tabs>
          <w:tab w:val="left" w:pos="360" w:leader="none"/>
          <w:tab w:val="left" w:pos="709" w:leader="none"/>
        </w:tabs>
        <w:jc w:val="both"/>
        <w:rPr>
          <w:rFonts w:ascii="Arial" w:hAnsi="Arial" w:cs="Arial"/>
          <w:sz w:val="22"/>
          <w:szCs w:val="22"/>
        </w:rPr>
      </w:pPr>
      <w:r>
        <w:rPr>
          <w:rFonts w:cs="Arial" w:ascii="Arial" w:hAnsi="Arial"/>
          <w:sz w:val="22"/>
          <w:szCs w:val="22"/>
        </w:rPr>
      </w:r>
    </w:p>
    <w:p>
      <w:pPr>
        <w:pStyle w:val="Normal"/>
        <w:tabs>
          <w:tab w:val="left" w:pos="360" w:leader="none"/>
          <w:tab w:val="left" w:pos="709" w:leader="none"/>
        </w:tabs>
        <w:jc w:val="both"/>
        <w:rPr>
          <w:rFonts w:ascii="Arial" w:hAnsi="Arial" w:cs="Arial"/>
          <w:sz w:val="22"/>
          <w:szCs w:val="22"/>
        </w:rPr>
      </w:pPr>
      <w:r>
        <w:rPr>
          <w:rFonts w:cs="Arial" w:ascii="Arial" w:hAnsi="Arial"/>
          <w:sz w:val="22"/>
          <w:szCs w:val="22"/>
        </w:rPr>
      </w:r>
    </w:p>
    <w:p>
      <w:pPr>
        <w:pStyle w:val="Normal"/>
        <w:tabs>
          <w:tab w:val="left" w:pos="360" w:leader="none"/>
          <w:tab w:val="left" w:pos="709"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2</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Provoz placených parkovišť</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1.</w:t>
        <w:tab/>
        <w:t>Provozní doba placených parkovišť (doba zpoplatnění parkování) na Vratislavově náměstí,</w:t>
      </w:r>
      <w:r>
        <w:rPr>
          <w:rFonts w:eastAsia="Arial" w:cs="Arial" w:ascii="Arial" w:hAnsi="Arial"/>
          <w:sz w:val="22"/>
          <w:szCs w:val="22"/>
        </w:rPr>
        <w:t xml:space="preserve"> </w:t>
      </w:r>
      <w:r>
        <w:rPr>
          <w:rFonts w:cs="Arial" w:ascii="Arial" w:hAnsi="Arial"/>
          <w:sz w:val="22"/>
          <w:szCs w:val="22"/>
        </w:rPr>
        <w:t>Palackého náměstí je stanovena takto:</w:t>
      </w:r>
    </w:p>
    <w:p>
      <w:pPr>
        <w:pStyle w:val="Zkladntextimp"/>
        <w:tabs>
          <w:tab w:val="left" w:pos="360" w:leader="none"/>
          <w:tab w:val="left" w:pos="709" w:leader="none"/>
        </w:tabs>
        <w:spacing w:before="120" w:after="0"/>
        <w:jc w:val="both"/>
        <w:rPr/>
      </w:pPr>
      <w:r>
        <w:rPr>
          <w:rFonts w:eastAsia="Arial" w:cs="Arial" w:ascii="Arial" w:hAnsi="Arial"/>
          <w:sz w:val="22"/>
          <w:szCs w:val="22"/>
        </w:rPr>
        <w:tab/>
      </w:r>
      <w:r>
        <w:rPr>
          <w:rFonts w:cs="Arial" w:ascii="Arial" w:hAnsi="Arial"/>
          <w:sz w:val="22"/>
          <w:szCs w:val="22"/>
        </w:rPr>
        <w:t>-</w:t>
        <w:tab/>
        <w:t>pondělí až pátek 8.00–15.00 hodin.</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2.</w:t>
        <w:tab/>
        <w:t xml:space="preserve">Mimo dobu uvedenou v čl. 2 odst. 1 tohoto nařízení lze placená parkoviště užít bez ceny za parkování. </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3.</w:t>
        <w:tab/>
        <w:t>Provozovatelem placených parkovišť je město Nové Město na Moravě.</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4.</w:t>
        <w:tab/>
        <w:t>Správcem provozování parkovacích automatů je Odbor správy majetku města Městského úřadu Nové Město na Moravě.</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3</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Cena za parkování, způsob placení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1.</w:t>
        <w:tab/>
        <w:t>Placená parkoviště lze v době uvedené v čl. 2 odst. 1 tohoto nařízení (v době zpoplatnění parkování) užít ke stání silničních motorových vozidel (parkování) pouze po zaplacení ceny za parkování.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2.</w:t>
        <w:tab/>
        <w:t>Výše ceny za parkovací hodinu je stanovena následovně:</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a) </w:t>
        <w:tab/>
        <w:t>cena za první  celou hodinu parkování činí 10 Kč</w:t>
      </w:r>
    </w:p>
    <w:p>
      <w:pPr>
        <w:pStyle w:val="Normal"/>
        <w:tabs>
          <w:tab w:val="clear" w:pos="709"/>
          <w:tab w:val="left" w:pos="360" w:leader="none"/>
          <w:tab w:val="left" w:pos="720" w:leader="none"/>
          <w:tab w:val="left" w:pos="1080" w:leader="none"/>
        </w:tabs>
        <w:spacing w:before="80" w:after="0"/>
        <w:ind w:left="0" w:right="0" w:firstLine="360"/>
        <w:jc w:val="both"/>
        <w:rPr>
          <w:rFonts w:ascii="Arial" w:hAnsi="Arial" w:cs="Arial"/>
          <w:sz w:val="22"/>
          <w:szCs w:val="22"/>
        </w:rPr>
      </w:pPr>
      <w:r>
        <w:rPr>
          <w:rFonts w:cs="Arial" w:ascii="Arial" w:hAnsi="Arial"/>
          <w:sz w:val="22"/>
          <w:szCs w:val="22"/>
        </w:rPr>
        <w:t>b)</w:t>
        <w:tab/>
        <w:t>cena za druhou započatou hodinu parkování činí 10 Kč</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c) </w:t>
        <w:tab/>
        <w:t>cena za každou další započatou hodinu parkování činí 20 Kč</w:t>
      </w:r>
    </w:p>
    <w:p>
      <w:pPr>
        <w:pStyle w:val="Normal"/>
        <w:tabs>
          <w:tab w:val="clear" w:pos="709"/>
          <w:tab w:val="left" w:pos="360" w:leader="none"/>
          <w:tab w:val="left" w:pos="720" w:leader="none"/>
          <w:tab w:val="left" w:pos="1080" w:leader="none"/>
        </w:tabs>
        <w:spacing w:before="80" w:after="0"/>
        <w:ind w:left="0" w:right="0" w:firstLine="360"/>
        <w:jc w:val="both"/>
        <w:rPr/>
      </w:pPr>
      <w:r>
        <w:rPr>
          <w:rFonts w:eastAsia="Arial" w:cs="Arial" w:ascii="Arial" w:hAnsi="Arial"/>
          <w:sz w:val="22"/>
          <w:szCs w:val="22"/>
        </w:rPr>
        <w:t>d</w:t>
      </w:r>
      <w:r>
        <w:rPr>
          <w:rFonts w:cs="Arial" w:ascii="Arial" w:hAnsi="Arial"/>
          <w:sz w:val="22"/>
          <w:szCs w:val="22"/>
        </w:rPr>
        <w:t xml:space="preserve">) </w:t>
        <w:tab/>
        <w:t>cena za každou započatou hodinu parkování činí 0 Kč, a to pro:</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vozidla s označením O1 (označení vozidla přepravujícího osobu těžce postiženou nebo těžce pohybově postiženou), která parkují na místech pro ně vyhrazených příslušnou dopravní značkou</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služební vozidla Městského úřadu Nové Město na Moravě, Policie ČR a Městské policie Nové Město na Moravě, vozidla zdravotnické záchranné služby a sociálních služeb při výkonu jejich činnosti, dále vozidla Hasičského záchranného sboru, správců inženýrských sítí a vozidel technické údržby komunikací při výkonu jejich činnosti, jakož i vozidla firem provádějících stavební a údržbové práce pro město na placených parkovištích,</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vozidla pohřebních služeb při výkonu jejich činnosti, označená vozidla v době konání svatebních obřadů a vozidla zásobující obchody či provozovny v zóně placeného parkování.</w:t>
      </w:r>
    </w:p>
    <w:p>
      <w:pPr>
        <w:pStyle w:val="Normal"/>
        <w:tabs>
          <w:tab w:val="clear" w:pos="709"/>
          <w:tab w:val="left" w:pos="360" w:leader="none"/>
          <w:tab w:val="left" w:pos="720" w:leader="none"/>
          <w:tab w:val="left" w:pos="1080" w:leader="none"/>
        </w:tabs>
        <w:spacing w:before="80" w:after="0"/>
        <w:ind w:left="360" w:right="0" w:hanging="0"/>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shd w:fill="auto" w:val="clear"/>
        </w:rPr>
      </w:pPr>
      <w:r>
        <w:rPr>
          <w:rFonts w:cs="Arial" w:ascii="Arial" w:hAnsi="Arial"/>
          <w:sz w:val="22"/>
          <w:szCs w:val="22"/>
          <w:shd w:fill="auto" w:val="clear"/>
        </w:rPr>
        <w:t>3.</w:t>
        <w:tab/>
        <w:t>Cena za parkování se platí prostřednictvím parkovacích automatů nebo prostřednictvím mobilní aplikace, která bude určena městem a která bude po uvedení do provozu označena</w:t>
        <w:br/>
        <w:t>na parkovacích automatech,  a to podle délky doby stání.</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shd w:fill="auto" w:val="clear"/>
        </w:rPr>
        <w:t>4.</w:t>
        <w:tab/>
        <w:t xml:space="preserve">Minimální vhozená (placená) finanční částka činí 5 Kč. Nad rámec této minimální částky je možné zaplatit libovolnou částku, která bude rozpočítána na dobu parkování dle příslušného hodinového tarifu dle čl. 3 odst. 2 tohoto </w:t>
      </w:r>
      <w:r>
        <w:rPr>
          <w:rFonts w:cs="Arial" w:ascii="Arial" w:hAnsi="Arial"/>
          <w:sz w:val="22"/>
          <w:szCs w:val="22"/>
        </w:rPr>
        <w:t>nařízení.</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5.</w:t>
        <w:tab/>
        <w:t>Fyzické osoby s místem trvalého pobytu, podnikající fyzické a právnické osoby s místem podnikání, sídlem nebo provozovnou ve vymezených oblastech města s placenými parkovišti, a osoby vlastnící v těchto oblastech města nemovitost, mohou užít placená parkoviště za cenu sjednanou, přičemž si mohou zakoupit parkovací kartu, kterou vydává Odbor správy majetku města Městského úřadu Nové Město na Moravě. Cena parkovací karty činí 7.500 Kč za kalendářní rok.</w:t>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6.</w:t>
        <w:tab/>
        <w:t>Zaplacení ceny za parkování se prokáže umístěním platného parkovacího lístku nebo platné parkovací karty po celou dobu stání silničního motorového vozidla na viditelném místě za předním sklem vozidla tak, aby byly veškeré údaje uvedené na tomto dokladu čitelné z vnějšku vozidla.</w:t>
      </w:r>
      <w:r>
        <w:rPr>
          <w:rFonts w:cs="Arial" w:ascii="Arial" w:hAnsi="Arial"/>
          <w:vanish w:val="false"/>
          <w:sz w:val="22"/>
          <w:szCs w:val="22"/>
        </w:rPr>
        <w:t xml:space="preserve"> V případě platby prostřednictvím mobilní aplikace, je údaj o zaplacení ceny za parkování zobrazen v mobilní aplikaci příslušné úřední osoby (např. strážníka městské policie, správce komunikací a pod.).</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7.</w:t>
        <w:tab/>
        <w:t>Řidič motocyklu uschová parkovací lístek nebo parkovací kartu u sebe a prokáže zaplacení ceny za parkování předložením platného dokladu v případě kontroly.</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4</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Kontrola a sankce</w:t>
      </w:r>
    </w:p>
    <w:p>
      <w:pPr>
        <w:pStyle w:val="Normal"/>
        <w:tabs>
          <w:tab w:val="clear" w:pos="709"/>
          <w:tab w:val="left" w:pos="360" w:leader="none"/>
          <w:tab w:val="left" w:pos="720" w:leader="none"/>
          <w:tab w:val="left" w:pos="1080" w:leader="none"/>
        </w:tabs>
        <w:jc w:val="center"/>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1.</w:t>
        <w:tab/>
        <w:t>Dohled nad dodržováním ustanovení tohoto nařízení vykonávají strážníci Městské policie Nového Města na Moravě. Tito při vykonáv</w:t>
      </w:r>
      <w:r>
        <w:rPr>
          <w:rFonts w:cs="Arial" w:ascii="Arial" w:hAnsi="Arial"/>
          <w:sz w:val="22"/>
          <w:szCs w:val="22"/>
          <w:shd w:fill="auto" w:val="clear"/>
        </w:rPr>
        <w:t>ání dohledu nad dodržováním ustanovení tohoto nařízení řeší přestupky, kterých se dopustil řidič vozidla stojícího na parkovacím stání na placeném parkovišti:</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shd w:fill="auto" w:val="clear"/>
        </w:rPr>
      </w:pPr>
      <w:r>
        <w:rPr>
          <w:rFonts w:cs="Arial" w:ascii="Arial" w:hAnsi="Arial"/>
          <w:sz w:val="22"/>
          <w:szCs w:val="22"/>
          <w:shd w:fill="auto" w:val="clear"/>
        </w:rPr>
        <w:tab/>
        <w:t xml:space="preserve">a) </w:t>
        <w:tab/>
        <w:t xml:space="preserve">bez platného parkovacího lístku, platby prostřednictvím mobilní aplikace nebo platné </w:t>
        <w:tab/>
        <w:tab/>
        <w:tab/>
        <w:t>parkovací karty,</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shd w:fill="auto" w:val="clear"/>
        </w:rPr>
      </w:pPr>
      <w:r>
        <w:rPr>
          <w:rFonts w:cs="Arial" w:ascii="Arial" w:hAnsi="Arial"/>
          <w:sz w:val="22"/>
          <w:szCs w:val="22"/>
          <w:shd w:fill="auto" w:val="clear"/>
        </w:rPr>
        <w:tab/>
        <w:t xml:space="preserve">b) </w:t>
        <w:tab/>
        <w:t xml:space="preserve">při překročení doby opravňující k parkování, vyznačené na parkovacím lístku nebo v </w:t>
        <w:tab/>
        <w:tab/>
        <w:tab/>
        <w:t>mobilní aplikaci,</w:t>
      </w:r>
    </w:p>
    <w:p>
      <w:pPr>
        <w:pStyle w:val="Normal"/>
        <w:tabs>
          <w:tab w:val="clear" w:pos="709"/>
          <w:tab w:val="left" w:pos="360" w:leader="none"/>
          <w:tab w:val="left" w:pos="720" w:leader="none"/>
          <w:tab w:val="left" w:pos="1080" w:leader="none"/>
        </w:tabs>
        <w:spacing w:before="80" w:after="0"/>
        <w:ind w:left="709" w:right="0" w:hanging="709"/>
        <w:jc w:val="both"/>
        <w:rPr>
          <w:rFonts w:ascii="Arial" w:hAnsi="Arial" w:cs="Arial"/>
          <w:sz w:val="22"/>
          <w:szCs w:val="22"/>
          <w:shd w:fill="auto" w:val="clear"/>
        </w:rPr>
      </w:pPr>
      <w:r>
        <w:rPr>
          <w:rFonts w:cs="Arial" w:ascii="Arial" w:hAnsi="Arial"/>
          <w:sz w:val="22"/>
          <w:szCs w:val="22"/>
          <w:shd w:fill="auto" w:val="clear"/>
        </w:rPr>
        <w:tab/>
        <w:t xml:space="preserve">c) </w:t>
        <w:tab/>
        <w:t>při umístění dokladu o zaplacení ceny za parkování způsobem odporujícím čl. 3 odst. 5 a 6 tohoto nařízení.</w:t>
      </w:r>
    </w:p>
    <w:p>
      <w:pPr>
        <w:pStyle w:val="Normal"/>
        <w:tabs>
          <w:tab w:val="clear" w:pos="709"/>
          <w:tab w:val="left" w:pos="360" w:leader="none"/>
          <w:tab w:val="left" w:pos="720" w:leader="none"/>
          <w:tab w:val="left" w:pos="1080" w:leader="none"/>
        </w:tabs>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shd w:fill="auto" w:val="clear"/>
        </w:rPr>
        <w:t>2.</w:t>
        <w:tab/>
        <w:t xml:space="preserve">Porušení povinností stanovených tímto nařízením </w:t>
      </w:r>
      <w:r>
        <w:rPr>
          <w:rFonts w:cs="Arial" w:ascii="Arial" w:hAnsi="Arial"/>
          <w:sz w:val="22"/>
          <w:szCs w:val="22"/>
        </w:rPr>
        <w:t>bude posuzováno jako přestupek podle zákona č. 251/2016 Sb., o některých přestupcích, a v souladu se zákonem  č. 553/1991 Sb.,</w:t>
        <w:br/>
        <w:t>o obecní policii, ve znění pozdějších předpisů, zároveň bude považováno za porušení veřejného pořádku, pokud zvláštní právní předpis nestanoví jinak, a bude posuzováno podle platných právních předpisů.</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5</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Zrušující ustanovení</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1080" w:leader="none"/>
        </w:tabs>
        <w:jc w:val="both"/>
        <w:rPr>
          <w:rFonts w:ascii="Arial" w:hAnsi="Arial" w:cs="Arial"/>
          <w:sz w:val="22"/>
          <w:szCs w:val="22"/>
        </w:rPr>
      </w:pPr>
      <w:r>
        <w:rPr>
          <w:rFonts w:cs="Arial" w:ascii="Arial" w:hAnsi="Arial"/>
          <w:sz w:val="22"/>
          <w:szCs w:val="22"/>
        </w:rPr>
        <w:t xml:space="preserve">Tímto nařízením se ruší Nařízení města Nové Město na Moravě, kterým se vymezují oblasti města, ve kterých lze místní komunikace nebo jejich určené úseky užít ke stání vozidla za cenu sjednanou (č. 1/2023) ze dne </w:t>
      </w:r>
      <w:r>
        <w:rPr>
          <w:rFonts w:eastAsia="Times New Roman" w:cs="Arial" w:ascii="Arial" w:hAnsi="Arial"/>
          <w:color w:val="00000A"/>
          <w:kern w:val="0"/>
          <w:sz w:val="22"/>
          <w:szCs w:val="22"/>
          <w:lang w:val="cs-CZ" w:eastAsia="zh-CN" w:bidi="ar-SA"/>
        </w:rPr>
        <w:t>05.06.2023</w:t>
      </w:r>
      <w:r>
        <w:rPr>
          <w:rFonts w:cs="Arial" w:ascii="Arial" w:hAnsi="Arial"/>
          <w:sz w:val="22"/>
          <w:szCs w:val="22"/>
        </w:rPr>
        <w:t xml:space="preserve">, vyhlášené dne </w:t>
      </w:r>
      <w:r>
        <w:rPr>
          <w:rFonts w:eastAsia="Times New Roman" w:cs="Arial" w:ascii="Arial" w:hAnsi="Arial"/>
          <w:color w:val="00000A"/>
          <w:kern w:val="0"/>
          <w:sz w:val="22"/>
          <w:szCs w:val="22"/>
          <w:lang w:val="cs-CZ" w:eastAsia="zh-CN" w:bidi="ar-SA"/>
        </w:rPr>
        <w:t>15</w:t>
      </w:r>
      <w:r>
        <w:rPr>
          <w:rFonts w:cs="Arial" w:ascii="Arial" w:hAnsi="Arial"/>
          <w:sz w:val="22"/>
          <w:szCs w:val="22"/>
        </w:rPr>
        <w:t>.06.2023, které nabylo účinnosti dne 01.07.2023.</w:t>
      </w:r>
    </w:p>
    <w:p>
      <w:pPr>
        <w:pStyle w:val="Normal"/>
        <w:tabs>
          <w:tab w:val="clear" w:pos="709"/>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t>Čl. 6</w:t>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t xml:space="preserve">Účinnost </w:t>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t>Toto nařízení nabývá účinnosti dnem 15.04.2024.</w:t>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center" w:pos="851" w:leader="none"/>
          <w:tab w:val="center" w:pos="4824" w:leader="none"/>
          <w:tab w:val="center" w:pos="8784" w:leader="none"/>
        </w:tabs>
        <w:ind w:left="0" w:right="0" w:hanging="0"/>
        <w:jc w:val="both"/>
        <w:rPr>
          <w:rFonts w:ascii="Arial" w:hAnsi="Arial" w:cs="Arial"/>
          <w:sz w:val="22"/>
          <w:szCs w:val="22"/>
        </w:rPr>
      </w:pPr>
      <w:r>
        <w:rPr>
          <w:rFonts w:cs="Arial" w:ascii="Arial" w:hAnsi="Arial"/>
          <w:sz w:val="22"/>
          <w:szCs w:val="22"/>
        </w:rPr>
        <w:tab/>
        <w:t xml:space="preserve">Michal Šmarda, </w:t>
      </w:r>
      <w:r>
        <w:rPr>
          <w:rFonts w:cs="Arial" w:ascii="Arial" w:hAnsi="Arial"/>
          <w:sz w:val="22"/>
          <w:szCs w:val="22"/>
        </w:rPr>
        <w:t>v. r.</w:t>
      </w:r>
      <w:r>
        <w:rPr>
          <w:rFonts w:cs="Arial" w:ascii="Arial" w:hAnsi="Arial"/>
          <w:sz w:val="22"/>
          <w:szCs w:val="22"/>
        </w:rPr>
        <w:tab/>
        <w:t xml:space="preserve">Bc. Jaroslav Lempera, </w:t>
      </w:r>
      <w:r>
        <w:rPr>
          <w:rFonts w:cs="Arial" w:ascii="Arial" w:hAnsi="Arial"/>
          <w:sz w:val="22"/>
          <w:szCs w:val="22"/>
        </w:rPr>
        <w:t>v. r.</w:t>
      </w:r>
      <w:r>
        <w:rPr>
          <w:rFonts w:cs="Arial" w:ascii="Arial" w:hAnsi="Arial"/>
          <w:sz w:val="22"/>
          <w:szCs w:val="22"/>
        </w:rPr>
        <w:tab/>
        <w:t xml:space="preserve">Stanislav Marek, </w:t>
      </w:r>
      <w:r>
        <w:rPr>
          <w:rFonts w:cs="Arial" w:ascii="Arial" w:hAnsi="Arial"/>
          <w:sz w:val="22"/>
          <w:szCs w:val="22"/>
        </w:rPr>
        <w:t>v. r.</w:t>
      </w:r>
    </w:p>
    <w:p>
      <w:pPr>
        <w:pStyle w:val="Normal"/>
        <w:tabs>
          <w:tab w:val="clear" w:pos="709"/>
          <w:tab w:val="center" w:pos="851" w:leader="none"/>
          <w:tab w:val="center" w:pos="4824" w:leader="none"/>
          <w:tab w:val="center" w:pos="8784" w:leader="none"/>
        </w:tabs>
        <w:ind w:left="0" w:right="0" w:hanging="0"/>
        <w:jc w:val="both"/>
        <w:rPr/>
      </w:pPr>
      <w:r>
        <w:rPr>
          <w:rFonts w:cs="Arial" w:ascii="Arial" w:hAnsi="Arial"/>
          <w:sz w:val="22"/>
          <w:szCs w:val="22"/>
        </w:rPr>
        <w:tab/>
        <w:t>starosta</w:t>
        <w:tab/>
        <w:t>místostarosta</w:t>
        <w:tab/>
        <w:t>místostarosta</w:t>
      </w:r>
    </w:p>
    <w:sectPr>
      <w:type w:val="nextPage"/>
      <w:pgSz w:w="11906" w:h="16838"/>
      <w:pgMar w:left="1134" w:right="1134" w:header="0" w:top="1134" w:footer="0" w:bottom="1134"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Times New Roman">
    <w:charset w:val="01"/>
    <w:family w:val="swiss"/>
    <w:pitch w:val="default"/>
  </w:font>
  <w:font w:name="Verdana">
    <w:charset w:val="01"/>
    <w:family w:val="swiss"/>
    <w:pitch w:val="default"/>
  </w:font>
  <w:font w:name="Cambria">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Tahom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lowerLetter"/>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Nadpis1">
    <w:name w:val="Heading 1"/>
    <w:basedOn w:val="Normal"/>
    <w:next w:val="Tlotextu"/>
    <w:qFormat/>
    <w:pPr>
      <w:keepNext w:val="true"/>
      <w:jc w:val="center"/>
      <w:outlineLvl w:val="0"/>
    </w:pPr>
    <w:rPr>
      <w:sz w:val="24"/>
    </w:rPr>
  </w:style>
  <w:style w:type="paragraph" w:styleId="Nadpis2">
    <w:name w:val="Heading 2"/>
    <w:basedOn w:val="Normal"/>
    <w:next w:val="Tlotextu"/>
    <w:qFormat/>
    <w:pPr>
      <w:keepNext w:val="true"/>
      <w:jc w:val="center"/>
      <w:outlineLvl w:val="1"/>
    </w:pPr>
    <w:rPr>
      <w:rFonts w:ascii="Verdana" w:hAnsi="Verdana" w:cs="Verdana"/>
      <w:b/>
      <w:color w:val="000000"/>
    </w:rPr>
  </w:style>
  <w:style w:type="paragraph" w:styleId="Nadpis3">
    <w:name w:val="Heading 3"/>
    <w:basedOn w:val="Normal"/>
    <w:next w:val="Tlotextu"/>
    <w:qFormat/>
    <w:pPr>
      <w:keepNext w:val="true"/>
      <w:jc w:val="center"/>
      <w:outlineLvl w:val="2"/>
    </w:pPr>
    <w:rPr>
      <w:b/>
      <w:sz w:val="24"/>
    </w:rPr>
  </w:style>
  <w:style w:type="paragraph" w:styleId="Nadpis4">
    <w:name w:val="Heading 4"/>
    <w:basedOn w:val="Normal"/>
    <w:next w:val="Tlotextu"/>
    <w:qFormat/>
    <w:pPr>
      <w:keepNext w:val="true"/>
      <w:outlineLvl w:val="3"/>
    </w:pPr>
    <w:rPr>
      <w:b/>
      <w:sz w:val="24"/>
    </w:rPr>
  </w:style>
  <w:style w:type="paragraph" w:styleId="Nadpis5">
    <w:name w:val="Heading 5"/>
    <w:basedOn w:val="Normal"/>
    <w:next w:val="Tlotextu"/>
    <w:qFormat/>
    <w:pPr>
      <w:keepNext w:val="true"/>
      <w:jc w:val="both"/>
      <w:outlineLvl w:val="4"/>
    </w:pPr>
    <w:rPr>
      <w:rFonts w:ascii="Verdana" w:hAnsi="Verdana" w:cs="Verdana"/>
      <w:b/>
      <w:sz w:val="24"/>
    </w:rPr>
  </w:style>
  <w:style w:type="paragraph" w:styleId="Nadpis6">
    <w:name w:val="Heading 6"/>
    <w:basedOn w:val="Normal"/>
    <w:next w:val="Tlotextu"/>
    <w:qFormat/>
    <w:pPr>
      <w:keepNext w:val="true"/>
      <w:jc w:val="center"/>
      <w:outlineLvl w:val="5"/>
    </w:pPr>
    <w:rPr>
      <w:rFonts w:ascii="Verdana" w:hAnsi="Verdana" w:cs="Verdana"/>
      <w:b/>
      <w:color w:val="000000"/>
      <w:sz w:val="24"/>
    </w:rPr>
  </w:style>
  <w:style w:type="paragraph" w:styleId="Nadpis7">
    <w:name w:val="Heading 7"/>
    <w:basedOn w:val="Normal"/>
    <w:next w:val="Tlotextu"/>
    <w:qFormat/>
    <w:pPr>
      <w:keepNext w:val="true"/>
      <w:ind w:left="708" w:right="0" w:hanging="0"/>
      <w:outlineLvl w:val="6"/>
    </w:pPr>
    <w:rPr>
      <w:sz w:val="24"/>
      <w:u w:val="single"/>
    </w:rPr>
  </w:style>
  <w:style w:type="paragraph" w:styleId="Nadpis8">
    <w:name w:val="Heading 8"/>
    <w:basedOn w:val="Normal"/>
    <w:next w:val="Tlotextu"/>
    <w:qFormat/>
    <w:pPr>
      <w:keepNext w:val="true"/>
      <w:outlineLvl w:val="7"/>
    </w:pPr>
    <w:rPr>
      <w:sz w:val="24"/>
    </w:rPr>
  </w:style>
  <w:style w:type="paragraph" w:styleId="Nadpis9">
    <w:name w:val="Heading 9"/>
    <w:basedOn w:val="Normal"/>
    <w:next w:val="Normal"/>
    <w:qFormat/>
    <w:pPr>
      <w:keepNext w:val="true"/>
      <w:keepLines/>
      <w:suppressAutoHyphens w:val="false"/>
      <w:spacing w:before="40" w:after="0"/>
      <w:jc w:val="both"/>
      <w:outlineLvl w:val="8"/>
    </w:pPr>
    <w:rPr>
      <w:rFonts w:ascii="Cambria" w:hAnsi="Cambria" w:cs="Cambria"/>
      <w:i/>
      <w:iCs/>
      <w:color w:val="272727"/>
      <w:sz w:val="21"/>
      <w:szCs w:val="21"/>
      <w:lang w:val="cs-CZ"/>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Times New Roman"/>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b w:val="false"/>
      <w:i w:val="false"/>
      <w:strike w:val="false"/>
      <w:dstrike w:val="false"/>
      <w:shadow w:val="false"/>
      <w:position w:val="0"/>
      <w:sz w:val="22"/>
      <w:sz w:val="22"/>
      <w:vertAlign w:val="baseline"/>
    </w:rPr>
  </w:style>
  <w:style w:type="character" w:styleId="WW8Num4z1">
    <w:name w:val="WW8Num4z1"/>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0">
    <w:name w:val="WW8Num5z0"/>
    <w:qFormat/>
    <w:rPr>
      <w:b w:val="false"/>
      <w:i w:val="false"/>
      <w:strike w:val="false"/>
      <w:dstrike w:val="false"/>
      <w:shadow w:val="false"/>
      <w:position w:val="0"/>
      <w:sz w:val="22"/>
      <w:sz w:val="22"/>
      <w:vertAlign w:val="baseline"/>
    </w:rPr>
  </w:style>
  <w:style w:type="character" w:styleId="WW8Num5z1">
    <w:name w:val="WW8Num5z1"/>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i w:val="false"/>
      <w:strike w:val="false"/>
      <w:dstrike w:val="false"/>
      <w:shadow w:val="false"/>
      <w:position w:val="0"/>
      <w:sz w:val="24"/>
      <w:sz w:val="24"/>
      <w:szCs w:val="24"/>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Arial" w:hAnsi="Arial" w:cs="Arial"/>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sz w:val="22"/>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cs="Arial"/>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val="false"/>
      <w:bCs w:val="false"/>
    </w:rPr>
  </w:style>
  <w:style w:type="character" w:styleId="WW8Num22z1">
    <w:name w:val="WW8Num22z1"/>
    <w:qFormat/>
    <w:rPr/>
  </w:style>
  <w:style w:type="character" w:styleId="WW8Num23z0">
    <w:name w:val="WW8Num23z0"/>
    <w:qFormat/>
    <w:rPr>
      <w:rFonts w:ascii="Arial" w:hAnsi="Arial" w:cs="Arial"/>
      <w:sz w:val="22"/>
      <w:szCs w:val="22"/>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sz w:val="22"/>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Arial" w:hAnsi="Arial" w:eastAsia="Times New Roman" w:cs="Aria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sz w:val="22"/>
      <w:szCs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Arial" w:hAnsi="Arial" w:cs="Arial"/>
      <w:sz w:val="22"/>
      <w:szCs w:val="22"/>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b w:val="false"/>
      <w:i w:val="false"/>
      <w:strike w:val="false"/>
      <w:dstrike w:val="false"/>
      <w:shadow w:val="false"/>
      <w:position w:val="0"/>
      <w:sz w:val="22"/>
      <w:sz w:val="22"/>
      <w:vertAlign w:val="baseline"/>
    </w:rPr>
  </w:style>
  <w:style w:type="character" w:styleId="WW8Num30z1">
    <w:name w:val="WW8Num30z1"/>
    <w:qFormat/>
    <w:rPr/>
  </w:style>
  <w:style w:type="character" w:styleId="WW8Num31z0">
    <w:name w:val="WW8Num31z0"/>
    <w:qFormat/>
    <w:rPr>
      <w:rFonts w:ascii="Arial" w:hAnsi="Arial" w:cs="Arial"/>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Arial" w:hAnsi="Arial" w:cs="Arial"/>
      <w:sz w:val="22"/>
      <w:szCs w:val="22"/>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Arial" w:hAnsi="Arial" w:cs="Arial"/>
      <w:sz w:val="22"/>
      <w:szCs w:val="2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andardnpsmoodstavce">
    <w:name w:val="Standardní písmo odstavce"/>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Standardnpsmoodstavce1">
    <w:name w:val="Standardní písmo odstavce1"/>
    <w:qFormat/>
    <w:rPr/>
  </w:style>
  <w:style w:type="character" w:styleId="Pagenumber">
    <w:name w:val="page number"/>
    <w:basedOn w:val="Standardnpsmoodstavce1"/>
    <w:qFormat/>
    <w:rPr/>
  </w:style>
  <w:style w:type="character" w:styleId="TextpoznpodarouChar">
    <w:name w:val="Text pozn. pod čarou Char"/>
    <w:qFormat/>
    <w:rPr>
      <w:color w:val="00000A"/>
    </w:rPr>
  </w:style>
  <w:style w:type="character" w:styleId="Znakypropoznmkupodarou">
    <w:name w:val="Znaky pro poznámku pod čarou"/>
    <w:qFormat/>
    <w:rPr>
      <w:vertAlign w:val="superscript"/>
    </w:rPr>
  </w:style>
  <w:style w:type="character" w:styleId="ZhlavChar">
    <w:name w:val="Záhlaví Char"/>
    <w:qFormat/>
    <w:rPr>
      <w:color w:val="00000A"/>
      <w:sz w:val="24"/>
    </w:rPr>
  </w:style>
  <w:style w:type="character" w:styleId="TextbublinyChar">
    <w:name w:val="Text bubliny Char"/>
    <w:qFormat/>
    <w:rPr>
      <w:rFonts w:ascii="Tahoma" w:hAnsi="Tahoma" w:cs="Tahoma"/>
      <w:color w:val="00000A"/>
      <w:sz w:val="16"/>
      <w:szCs w:val="16"/>
    </w:rPr>
  </w:style>
  <w:style w:type="character" w:styleId="Odkaznakoment">
    <w:name w:val="Odkaz na komentář"/>
    <w:qFormat/>
    <w:rPr>
      <w:sz w:val="16"/>
      <w:szCs w:val="16"/>
    </w:rPr>
  </w:style>
  <w:style w:type="character" w:styleId="TextkomenteChar">
    <w:name w:val="Text komentáře Char"/>
    <w:qFormat/>
    <w:rPr>
      <w:color w:val="00000A"/>
    </w:rPr>
  </w:style>
  <w:style w:type="character" w:styleId="PedmtkomenteChar">
    <w:name w:val="Předmět komentáře Char"/>
    <w:qFormat/>
    <w:rPr>
      <w:b/>
      <w:bCs/>
      <w:color w:val="00000A"/>
    </w:rPr>
  </w:style>
  <w:style w:type="character" w:styleId="Nadpis9Char">
    <w:name w:val="Nadpis 9 Char"/>
    <w:qFormat/>
    <w:rPr>
      <w:rFonts w:ascii="Cambria" w:hAnsi="Cambria" w:cs="Cambria"/>
      <w:i/>
      <w:iCs/>
      <w:color w:val="272727"/>
      <w:sz w:val="21"/>
      <w:szCs w:val="21"/>
      <w:lang w:val="cs-CZ"/>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Strong">
    <w:name w:val="Strong"/>
    <w:qFormat/>
    <w:rPr>
      <w:b/>
      <w:bCs/>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Slovndk">
    <w:name w:val="Číslování řádků"/>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paragraph" w:styleId="Nadpis">
    <w:name w:val="Nadpis"/>
    <w:basedOn w:val="Normal"/>
    <w:next w:val="Tlotextu"/>
    <w:qFormat/>
    <w:pPr>
      <w:keepNext w:val="true"/>
      <w:numPr>
        <w:ilvl w:val="0"/>
        <w:numId w:val="0"/>
      </w:numPr>
      <w:spacing w:before="240" w:after="120"/>
      <w:ind w:left="0" w:right="0" w:hanging="0"/>
    </w:pPr>
    <w:rPr>
      <w:rFonts w:ascii="Arial" w:hAnsi="Arial" w:eastAsia="Lucida Sans Unicode" w:cs="Tahoma"/>
      <w:sz w:val="28"/>
      <w:szCs w:val="28"/>
    </w:rPr>
  </w:style>
  <w:style w:type="paragraph" w:styleId="Tlotextu">
    <w:name w:val="Body Text"/>
    <w:basedOn w:val="Normal"/>
    <w:pPr>
      <w:numPr>
        <w:ilvl w:val="0"/>
        <w:numId w:val="0"/>
      </w:numPr>
      <w:spacing w:before="0" w:after="120"/>
      <w:ind w:left="0" w:right="0" w:hanging="0"/>
    </w:pPr>
    <w:rPr>
      <w:rFonts w:ascii="Verdana" w:hAnsi="Verdana" w:cs="Verdana"/>
    </w:rPr>
  </w:style>
  <w:style w:type="paragraph" w:styleId="Seznam">
    <w:name w:val="List"/>
    <w:basedOn w:val="Tlotextu"/>
    <w:pPr>
      <w:numPr>
        <w:ilvl w:val="0"/>
        <w:numId w:val="0"/>
      </w:numPr>
      <w:ind w:left="0" w:right="0" w:hanging="0"/>
    </w:pPr>
    <w:rPr>
      <w:rFonts w:cs="Tahoma"/>
    </w:rPr>
  </w:style>
  <w:style w:type="paragraph" w:styleId="Popisek">
    <w:name w:val="Caption"/>
    <w:basedOn w:val="Normal"/>
    <w:qFormat/>
    <w:pPr>
      <w:numPr>
        <w:ilvl w:val="0"/>
        <w:numId w:val="0"/>
      </w:numPr>
      <w:suppressLineNumbers/>
      <w:spacing w:before="120" w:after="120"/>
      <w:ind w:left="0" w:right="0" w:hanging="0"/>
    </w:pPr>
    <w:rPr>
      <w:rFonts w:cs="Tahoma"/>
      <w:i/>
      <w:iCs/>
      <w:sz w:val="24"/>
      <w:szCs w:val="24"/>
    </w:rPr>
  </w:style>
  <w:style w:type="paragraph" w:styleId="Rejstk">
    <w:name w:val="Rejstřík"/>
    <w:basedOn w:val="Normal"/>
    <w:qFormat/>
    <w:pPr>
      <w:numPr>
        <w:ilvl w:val="0"/>
        <w:numId w:val="0"/>
      </w:numPr>
      <w:suppressLineNumbers/>
      <w:ind w:left="0" w:right="0" w:hanging="0"/>
    </w:pPr>
    <w:rPr>
      <w:rFonts w:cs="Tahoma"/>
    </w:rPr>
  </w:style>
  <w:style w:type="paragraph" w:styleId="Nzev">
    <w:name w:val="Title"/>
    <w:basedOn w:val="Normal"/>
    <w:next w:val="Podtitul"/>
    <w:qFormat/>
    <w:pPr>
      <w:numPr>
        <w:ilvl w:val="0"/>
        <w:numId w:val="0"/>
      </w:numPr>
      <w:ind w:left="0" w:right="0" w:hanging="0"/>
      <w:jc w:val="center"/>
    </w:pPr>
    <w:rPr>
      <w:rFonts w:ascii="Verdana" w:hAnsi="Verdana" w:cs="Verdana"/>
      <w:b/>
      <w:bCs/>
      <w:sz w:val="36"/>
      <w:szCs w:val="36"/>
    </w:rPr>
  </w:style>
  <w:style w:type="paragraph" w:styleId="Podtitul">
    <w:name w:val="Subtitle"/>
    <w:basedOn w:val="Nadpis"/>
    <w:next w:val="Tlotextu"/>
    <w:qFormat/>
    <w:pPr>
      <w:numPr>
        <w:ilvl w:val="0"/>
        <w:numId w:val="0"/>
      </w:numPr>
      <w:ind w:left="0" w:right="0" w:hanging="0"/>
      <w:jc w:val="center"/>
    </w:pPr>
    <w:rPr>
      <w:i/>
      <w:iCs/>
      <w:sz w:val="28"/>
      <w:szCs w:val="28"/>
    </w:rPr>
  </w:style>
  <w:style w:type="paragraph" w:styleId="Zkladntext21">
    <w:name w:val="Základní text 21"/>
    <w:basedOn w:val="Normal"/>
    <w:qFormat/>
    <w:pPr>
      <w:numPr>
        <w:ilvl w:val="0"/>
        <w:numId w:val="0"/>
      </w:numPr>
      <w:ind w:left="0" w:right="0" w:hanging="0"/>
      <w:jc w:val="center"/>
    </w:pPr>
    <w:rPr>
      <w:rFonts w:ascii="Verdana" w:hAnsi="Verdana" w:cs="Verdana"/>
      <w:b/>
    </w:rPr>
  </w:style>
  <w:style w:type="paragraph" w:styleId="Zkladntext31">
    <w:name w:val="Základní text 31"/>
    <w:basedOn w:val="Normal"/>
    <w:qFormat/>
    <w:pPr>
      <w:numPr>
        <w:ilvl w:val="0"/>
        <w:numId w:val="0"/>
      </w:numPr>
      <w:ind w:left="0" w:right="0" w:hanging="0"/>
    </w:pPr>
    <w:rPr>
      <w:rFonts w:ascii="Verdana" w:hAnsi="Verdana" w:cs="Verdana"/>
      <w:b/>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
    <w:name w:val="Header"/>
    <w:basedOn w:val="Normal"/>
    <w:pPr>
      <w:numPr>
        <w:ilvl w:val="0"/>
        <w:numId w:val="0"/>
      </w:numPr>
      <w:suppressLineNumbers/>
      <w:tabs>
        <w:tab w:val="clear" w:pos="709"/>
        <w:tab w:val="center" w:pos="4536" w:leader="none"/>
        <w:tab w:val="right" w:pos="9072" w:leader="none"/>
      </w:tabs>
      <w:ind w:left="0" w:right="0" w:hanging="0"/>
    </w:pPr>
    <w:rPr>
      <w:sz w:val="24"/>
      <w:lang w:val="cs-CZ"/>
    </w:rPr>
  </w:style>
  <w:style w:type="paragraph" w:styleId="Odsazentlatextu">
    <w:name w:val="Body Text Indent"/>
    <w:basedOn w:val="Normal"/>
    <w:pPr>
      <w:numPr>
        <w:ilvl w:val="0"/>
        <w:numId w:val="0"/>
      </w:numPr>
      <w:ind w:left="4248" w:right="0" w:hanging="4248"/>
    </w:pPr>
    <w:rPr>
      <w:sz w:val="24"/>
    </w:rPr>
  </w:style>
  <w:style w:type="paragraph" w:styleId="Zpat">
    <w:name w:val="Footer"/>
    <w:basedOn w:val="Normal"/>
    <w:pPr>
      <w:numPr>
        <w:ilvl w:val="0"/>
        <w:numId w:val="0"/>
      </w:numPr>
      <w:suppressLineNumbers/>
      <w:tabs>
        <w:tab w:val="clear" w:pos="709"/>
        <w:tab w:val="center" w:pos="4536" w:leader="none"/>
        <w:tab w:val="right" w:pos="9072" w:leader="none"/>
      </w:tabs>
      <w:ind w:left="0" w:right="0" w:hanging="0"/>
    </w:pPr>
    <w:rPr/>
  </w:style>
  <w:style w:type="paragraph" w:styleId="DocumentMap">
    <w:name w:val="Document Map"/>
    <w:basedOn w:val="Normal"/>
    <w:qFormat/>
    <w:pPr>
      <w:numPr>
        <w:ilvl w:val="0"/>
        <w:numId w:val="0"/>
      </w:numPr>
      <w:shd w:val="clear" w:fill="000080"/>
      <w:ind w:left="0" w:right="0" w:hanging="0"/>
    </w:pPr>
    <w:rPr>
      <w:rFonts w:ascii="Tahoma" w:hAnsi="Tahoma" w:cs="Tahoma"/>
    </w:rPr>
  </w:style>
  <w:style w:type="paragraph" w:styleId="Obsahrmce">
    <w:name w:val="Obsah rámce"/>
    <w:basedOn w:val="Tlotextu"/>
    <w:qFormat/>
    <w:pPr>
      <w:numPr>
        <w:ilvl w:val="0"/>
        <w:numId w:val="0"/>
      </w:numPr>
      <w:ind w:left="0" w:right="0" w:hanging="0"/>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znmkapodarou">
    <w:name w:val="Footnote Text"/>
    <w:basedOn w:val="Normal"/>
    <w:pPr/>
    <w:rPr>
      <w:lang w:val="cs-CZ"/>
    </w:rPr>
  </w:style>
  <w:style w:type="paragraph" w:styleId="Odstavecseseznamem">
    <w:name w:val="Odstavec se seznamem"/>
    <w:basedOn w:val="Normal"/>
    <w:qFormat/>
    <w:pPr>
      <w:ind w:left="708" w:right="0" w:hanging="0"/>
    </w:pPr>
    <w:rPr/>
  </w:style>
  <w:style w:type="paragraph" w:styleId="Nzvylnk">
    <w:name w:val="Názvy článků"/>
    <w:basedOn w:val="Normal"/>
    <w:qFormat/>
    <w:pPr>
      <w:keepNext w:val="true"/>
      <w:keepLines/>
      <w:suppressAutoHyphens w:val="false"/>
      <w:spacing w:before="60" w:after="160"/>
      <w:jc w:val="center"/>
    </w:pPr>
    <w:rPr>
      <w:b/>
      <w:bCs/>
      <w:color w:val="000000"/>
      <w:sz w:val="24"/>
    </w:rPr>
  </w:style>
  <w:style w:type="paragraph" w:styleId="Nzevzkona">
    <w:name w:val="název zákona"/>
    <w:basedOn w:val="Nzev"/>
    <w:qFormat/>
    <w:pPr>
      <w:suppressAutoHyphens w:val="false"/>
      <w:spacing w:before="240" w:after="60"/>
      <w:outlineLvl w:val="0"/>
    </w:pPr>
    <w:rPr>
      <w:rFonts w:ascii="Cambria" w:hAnsi="Cambria" w:cs="Cambria"/>
      <w:color w:val="000000"/>
      <w:kern w:val="2"/>
      <w:sz w:val="32"/>
      <w:szCs w:val="32"/>
    </w:rPr>
  </w:style>
  <w:style w:type="paragraph" w:styleId="Slalnk">
    <w:name w:val="Čísla článků"/>
    <w:basedOn w:val="Normal"/>
    <w:qFormat/>
    <w:pPr>
      <w:keepNext w:val="true"/>
      <w:keepLines/>
      <w:suppressAutoHyphens w:val="false"/>
      <w:spacing w:before="360" w:after="60"/>
      <w:jc w:val="center"/>
    </w:pPr>
    <w:rPr>
      <w:b/>
      <w:bCs/>
      <w:color w:val="000000"/>
      <w:sz w:val="24"/>
    </w:rPr>
  </w:style>
  <w:style w:type="paragraph" w:styleId="Oddstavcevlncch">
    <w:name w:val="Oddstavce v článcích"/>
    <w:basedOn w:val="Normal"/>
    <w:next w:val="Normal"/>
    <w:qFormat/>
    <w:pPr>
      <w:keepLines/>
      <w:numPr>
        <w:ilvl w:val="0"/>
        <w:numId w:val="1"/>
      </w:numPr>
      <w:suppressAutoHyphens w:val="false"/>
      <w:spacing w:before="0" w:after="60"/>
      <w:jc w:val="both"/>
    </w:pPr>
    <w:rPr>
      <w:color w:val="000000"/>
      <w:sz w:val="24"/>
      <w:szCs w:val="24"/>
    </w:rPr>
  </w:style>
  <w:style w:type="paragraph" w:styleId="Textbubliny">
    <w:name w:val="Text bubliny"/>
    <w:basedOn w:val="Normal"/>
    <w:qFormat/>
    <w:pPr/>
    <w:rPr>
      <w:rFonts w:ascii="Tahoma" w:hAnsi="Tahoma" w:cs="Tahoma"/>
      <w:sz w:val="16"/>
      <w:szCs w:val="16"/>
      <w:lang w:val="cs-CZ"/>
    </w:rPr>
  </w:style>
  <w:style w:type="paragraph" w:styleId="Textkomente">
    <w:name w:val="Text komentáře"/>
    <w:basedOn w:val="Normal"/>
    <w:qFormat/>
    <w:pPr/>
    <w:rPr>
      <w:lang w:val="cs-CZ"/>
    </w:rPr>
  </w:style>
  <w:style w:type="paragraph" w:styleId="Pedmtkomente">
    <w:name w:val="Předmět komentáře"/>
    <w:basedOn w:val="Textkomente"/>
    <w:next w:val="Textkomente"/>
    <w:qFormat/>
    <w:pPr/>
    <w:rPr>
      <w:b/>
      <w:bCs/>
    </w:rPr>
  </w:style>
  <w:style w:type="paragraph" w:styleId="Revize">
    <w:name w:val="Revize"/>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Paragraf">
    <w:name w:val="Paragraf"/>
    <w:basedOn w:val="Normal"/>
    <w:next w:val="Textodstavce"/>
    <w:qFormat/>
    <w:pPr>
      <w:keepNext w:val="true"/>
      <w:keepLines/>
      <w:suppressAutoHyphens w:val="false"/>
      <w:spacing w:before="240" w:after="0"/>
      <w:jc w:val="center"/>
      <w:outlineLvl w:val="5"/>
    </w:pPr>
    <w:rPr>
      <w:color w:val="000000"/>
      <w:sz w:val="24"/>
    </w:rPr>
  </w:style>
  <w:style w:type="paragraph" w:styleId="Lnek">
    <w:name w:val="Článek"/>
    <w:basedOn w:val="Normal"/>
    <w:next w:val="Textodstavce"/>
    <w:qFormat/>
    <w:pPr>
      <w:keepNext w:val="true"/>
      <w:keepLines/>
      <w:suppressAutoHyphens w:val="false"/>
      <w:spacing w:before="240" w:after="0"/>
      <w:jc w:val="center"/>
      <w:outlineLvl w:val="5"/>
    </w:pPr>
    <w:rPr>
      <w:color w:val="000000"/>
      <w:sz w:val="24"/>
    </w:rPr>
  </w:style>
  <w:style w:type="paragraph" w:styleId="Textbodu">
    <w:name w:val="Text bodu"/>
    <w:basedOn w:val="Normal"/>
    <w:qFormat/>
    <w:pPr>
      <w:tabs>
        <w:tab w:val="clear" w:pos="709"/>
        <w:tab w:val="left" w:pos="994" w:leader="none"/>
      </w:tabs>
      <w:suppressAutoHyphens w:val="false"/>
      <w:ind w:left="994" w:right="0" w:hanging="426"/>
      <w:jc w:val="both"/>
      <w:outlineLvl w:val="8"/>
    </w:pPr>
    <w:rPr>
      <w:color w:val="000000"/>
      <w:sz w:val="24"/>
    </w:rPr>
  </w:style>
  <w:style w:type="paragraph" w:styleId="Textpsmene">
    <w:name w:val="Text písmene"/>
    <w:basedOn w:val="Normal"/>
    <w:qFormat/>
    <w:pPr>
      <w:tabs>
        <w:tab w:val="clear" w:pos="709"/>
        <w:tab w:val="left" w:pos="425" w:leader="none"/>
      </w:tabs>
      <w:suppressAutoHyphens w:val="false"/>
      <w:ind w:left="425" w:right="0" w:hanging="425"/>
      <w:jc w:val="both"/>
      <w:outlineLvl w:val="7"/>
    </w:pPr>
    <w:rPr>
      <w:color w:val="000000"/>
      <w:sz w:val="24"/>
    </w:rPr>
  </w:style>
  <w:style w:type="paragraph" w:styleId="Textodstavce">
    <w:name w:val="Text odstavce"/>
    <w:basedOn w:val="Normal"/>
    <w:qFormat/>
    <w:pPr>
      <w:tabs>
        <w:tab w:val="clear" w:pos="709"/>
        <w:tab w:val="left" w:pos="499" w:leader="none"/>
        <w:tab w:val="left" w:pos="851" w:leader="none"/>
      </w:tabs>
      <w:suppressAutoHyphens w:val="false"/>
      <w:spacing w:before="120" w:after="120"/>
      <w:ind w:left="-283" w:right="0" w:firstLine="425"/>
      <w:jc w:val="both"/>
      <w:outlineLvl w:val="6"/>
    </w:pPr>
    <w:rPr>
      <w:color w:val="000000"/>
      <w:sz w:val="24"/>
    </w:rPr>
  </w:style>
  <w:style w:type="paragraph" w:styleId="Nadpisparagrafu">
    <w:name w:val="Nadpis paragrafu"/>
    <w:basedOn w:val="Paragraf"/>
    <w:next w:val="Textodstavce"/>
    <w:qFormat/>
    <w:pPr>
      <w:numPr>
        <w:ilvl w:val="0"/>
        <w:numId w:val="2"/>
      </w:numPr>
    </w:pPr>
    <w:rPr>
      <w:b/>
    </w:rPr>
  </w:style>
  <w:style w:type="paragraph" w:styleId="A">
    <w:name w:val="a"/>
    <w:basedOn w:val="Normal"/>
    <w:qFormat/>
    <w:pPr>
      <w:tabs>
        <w:tab w:val="clear" w:pos="709"/>
        <w:tab w:val="left" w:pos="567" w:leader="none"/>
        <w:tab w:val="left" w:pos="1134" w:leader="none"/>
        <w:tab w:val="left" w:pos="1701" w:leader="none"/>
        <w:tab w:val="left" w:pos="3402" w:leader="none"/>
        <w:tab w:val="left" w:pos="5103" w:leader="none"/>
      </w:tabs>
      <w:overflowPunct w:val="false"/>
      <w:spacing w:lineRule="exact" w:line="200" w:before="120" w:after="0"/>
    </w:pPr>
    <w:rPr>
      <w:szCs w:val="20"/>
    </w:rPr>
  </w:style>
  <w:style w:type="paragraph" w:styleId="ListParagraph">
    <w:name w:val="List Paragraph"/>
    <w:basedOn w:val="Normal"/>
    <w:qFormat/>
    <w:pPr>
      <w:spacing w:before="0" w:after="200"/>
      <w:ind w:left="720" w:right="0" w:firstLine="709"/>
      <w:contextualSpacing/>
    </w:pPr>
    <w:rPr/>
  </w:style>
  <w:style w:type="paragraph" w:styleId="Textparagrafu">
    <w:name w:val="Text paragrafu"/>
    <w:basedOn w:val="Normal"/>
    <w:qFormat/>
    <w:pPr>
      <w:spacing w:before="240" w:after="0"/>
      <w:ind w:firstLine="425"/>
      <w:jc w:val="both"/>
    </w:pPr>
    <w:rPr/>
  </w:style>
  <w:style w:type="paragraph" w:styleId="Bezmezer">
    <w:name w:val="Bez mezer"/>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Zkladntextimp">
    <w:name w:val="zkladntextimp"/>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23">
    <w:name w:val="WW8Num23"/>
    <w:qFormat/>
  </w:style>
  <w:style w:type="numbering" w:styleId="WW8Num20">
    <w:name w:val="WW8Num20"/>
    <w:qFormat/>
  </w:style>
  <w:style w:type="numbering" w:styleId="WW8Num30">
    <w:name w:val="WW8Num30"/>
    <w:qFormat/>
  </w:style>
  <w:style w:type="numbering" w:styleId="WW8Num16">
    <w:name w:val="WW8Num16"/>
    <w:qFormat/>
  </w:style>
  <w:style w:type="numbering" w:styleId="WW8Num17">
    <w:name w:val="WW8Num17"/>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336</TotalTime>
  <Application>LibreOffice/7.0.6.2$Windows_X86_64 LibreOffice_project/144abb84a525d8e30c9dbbefa69cbbf2d8d4ae3b</Application>
  <AppVersion>15.0000</AppVersion>
  <Pages>3</Pages>
  <Words>1093</Words>
  <Characters>6066</Characters>
  <CharactersWithSpaces>7155</CharactersWithSpaces>
  <Paragraphs>57</Paragraphs>
  <Company>Město Nové Město na Moravě_x005F_x0000_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2021-04-27T10:41:00Z</dcterms:created>
  <dc:creator>Marcela Kratochvílová</dc:creator>
  <dc:description/>
  <dc:language>cs-CZ</dc:language>
  <cp:lastModifiedBy/>
  <cp:lastPrinted>2022-05-03T10:49:55Z</cp:lastPrinted>
  <dcterms:modified xsi:type="dcterms:W3CDTF">2024-03-28T10:29:57Z</dcterms:modified>
  <cp:revision>28</cp:revision>
  <dc:subject/>
  <dc:title>Obecně závazná vyhláška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