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40"/>
          <w:szCs w:val="40"/>
          <w:u w:val="none"/>
          <w:shd w:fill="auto" w:val="clear"/>
          <w:vertAlign w:val="baseline"/>
        </w:rPr>
      </w:pPr>
      <w:r w:rsidDel="00000000" w:rsidR="00000000" w:rsidRPr="00000000">
        <w:rPr>
          <w:rFonts w:ascii="Arial" w:cs="Arial" w:eastAsia="Arial" w:hAnsi="Arial"/>
          <w:b w:val="1"/>
          <w:i w:val="0"/>
          <w:smallCaps w:val="0"/>
          <w:strike w:val="0"/>
          <w:color w:val="000000"/>
          <w:sz w:val="40"/>
          <w:szCs w:val="40"/>
          <w:u w:val="none"/>
          <w:shd w:fill="auto" w:val="clear"/>
          <w:vertAlign w:val="baseline"/>
          <w:rtl w:val="0"/>
        </w:rPr>
        <w:t xml:space="preserve">OBEC SOBČICE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40"/>
          <w:szCs w:val="40"/>
          <w:u w:val="none"/>
          <w:shd w:fill="auto" w:val="clear"/>
          <w:vertAlign w:val="baseline"/>
        </w:rPr>
      </w:pPr>
      <w:r w:rsidDel="00000000" w:rsidR="00000000" w:rsidRPr="00000000">
        <w:rPr>
          <w:rFonts w:ascii="Arial" w:cs="Arial" w:eastAsia="Arial" w:hAnsi="Arial"/>
          <w:b w:val="1"/>
          <w:i w:val="0"/>
          <w:smallCaps w:val="0"/>
          <w:strike w:val="0"/>
          <w:color w:val="000000"/>
          <w:sz w:val="40"/>
          <w:szCs w:val="40"/>
          <w:u w:val="none"/>
          <w:shd w:fill="auto" w:val="clear"/>
          <w:vertAlign w:val="baseline"/>
          <w:rtl w:val="0"/>
        </w:rPr>
        <w:t xml:space="preserve">Sobčice 25, 508 01 Hořice</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25401</wp:posOffset>
                </wp:positionH>
                <wp:positionV relativeFrom="paragraph">
                  <wp:posOffset>127000</wp:posOffset>
                </wp:positionV>
                <wp:extent cx="0" cy="12700"/>
                <wp:effectExtent b="0" l="0" r="0" t="0"/>
                <wp:wrapNone/>
                <wp:docPr id="1" name=""/>
                <a:graphic>
                  <a:graphicData uri="http://schemas.microsoft.com/office/word/2010/wordprocessingShape">
                    <wps:wsp>
                      <wps:cNvCnPr/>
                      <wps:spPr>
                        <a:xfrm>
                          <a:off x="1974150" y="3780000"/>
                          <a:ext cx="674370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127000</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Obecně závazná vyhláška obce Sobčice č. 01/2019,</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 stanovení systému shromažďování, sběru, přepravy, třídění, využívání a odstraňování komunálních odpadů a nakládání se stavebním odpadem na území obce Sobčice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Zastupitelstvo obce Sobčice se na svém zasedání dne 31. 5. 2019 usnesením č. 6 usneslo vydat na základě § 17 odst. 2 zákona č. 185/2001 Sb., o odpadech a o změně některých dalších zákonů, ve znění pozdějších předpisů, a v souladu s § 10 písm. d) a § 84 odst. 2 písm. h) zákona č. 128/2000 Sb., o obcích (obecní zřízení), ve znění pozdějších předpisů, tuto obecně závaznou vyhlášku (dále jen „vyhláška“):</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Čl. 1</w:t>
      </w:r>
      <w:r w:rsidDel="00000000" w:rsidR="00000000" w:rsidRPr="00000000">
        <w:rPr>
          <w:rtl w:val="0"/>
        </w:rPr>
      </w:r>
    </w:p>
    <w:p w:rsidR="00000000" w:rsidDel="00000000" w:rsidP="00000000" w:rsidRDefault="00000000" w:rsidRPr="00000000" w14:paraId="0000000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Úvodní ustanovení</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67"/>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Tato vyhláška stanovuje systém shromažďování, sběru, přepravy, třídění, využívání a odstraňování komunálních odpadů vznikajících na území obce Sobčice, včetně nakládání se stavebním odpadem</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0"/>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Čl. 2</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Třídění komunálního odpadu</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Komunální odpad se třídí na složky:</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567"/>
        </w:tabs>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papír,</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567"/>
        </w:tabs>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plasty včetně PET lahví (dále jen „plasty“),</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567"/>
        </w:tabs>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nápojové kartony,</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sklo,</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kovy,</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biologické odpady rostlinného původu,</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nebezpečné odpady,</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objemný odpad,</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jedlé oleje a tuky</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1"/>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směsný komunální odpad.</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b0f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Objemný odpad je takový odpad, který vzhledem ke svým rozměrům nemůže být umístěn do sběrných nádob (např. koberce, matrace, nábytek apod.).</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Směsným komunálním odpadem se rozumí zbylý komunální odpad po stanoveném vytřídění podle odstavce 1 písm. a) až i).</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Čl. 3</w:t>
      </w:r>
      <w:r w:rsidDel="00000000" w:rsidR="00000000" w:rsidRPr="00000000">
        <w:rPr>
          <w:rtl w:val="0"/>
        </w:rPr>
      </w:r>
    </w:p>
    <w:p w:rsidR="00000000" w:rsidDel="00000000" w:rsidP="00000000" w:rsidRDefault="00000000" w:rsidRPr="00000000" w14:paraId="0000002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Shromažďování, sběr a svoz tříděného komunálního odpadu</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Tříděný komunální odpad je shromažďován do zvláštních sběrných nádob a velkoobjemového kontejneru.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Zvláštní sběrné nádoby jsou umístěny na těchto stanovištích: </w:t>
      </w:r>
    </w:p>
    <w:p w:rsidR="00000000" w:rsidDel="00000000" w:rsidP="00000000" w:rsidRDefault="00000000" w:rsidRPr="00000000" w14:paraId="000000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29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sběrné nádoby na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jedlé oleje a tuky, papír, sklo, nápojové kartony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plasty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jsou umístěny u obchodu se smíšeným zbožím,</w:t>
      </w:r>
    </w:p>
    <w:p w:rsidR="00000000" w:rsidDel="00000000" w:rsidP="00000000" w:rsidRDefault="00000000" w:rsidRPr="00000000" w14:paraId="0000002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29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Sběrné nádoby na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kovy, papír, sklo, nápojové kartony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plasty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jsou umístěny „na plácku“ pod budovou obecního úřadu.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 odkládání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biologického odpadu rostlinného původu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je celoročně určen velkoobjemový kontejner umístěný na p. č. st. 34/3 v k. ú. Sobčice.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Zvláštní sběrné nádoby a velkoobjemový kontejner jsou barevně odlišeny a označeny příslušnými nápisy:</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567"/>
        </w:tabs>
        <w:spacing w:after="0" w:before="0" w:line="240" w:lineRule="auto"/>
        <w:ind w:left="786"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papír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sběrná nádoba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barvy modré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567"/>
        </w:tabs>
        <w:spacing w:after="0" w:before="0" w:line="240" w:lineRule="auto"/>
        <w:ind w:left="786"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plasty, nápojové kartony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sběrná nádoba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barvy žluté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6"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sklo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sběrná nádoba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barvy zelené,</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6"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kovy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sběrná nádoba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barvy červené,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označena nápisem KOVY,</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6"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biologické odpady rostlinného původu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velkoobjemový kontejner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modré barvy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6"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jedlé oleje a tuky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sběrná nádoba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barvy žluté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označena nápisem „Jedlé oleje a tuky z domácností“.</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Sběr a svoz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nebezpečných složek komunálního odpadu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objemného odpadu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je zajišťován dvakrát ročně jejich odebíráním na předem vyhlášených přechodných stanovištích přímo do zvláštních sběrných nádob. Informace o sběru jsou zveřejňovány na pevné i elektronické úřední desce obecního úřadu, v místním rozhlase, popřípadě v obecním zpravodaji.</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zvláštních sběrných nádob a velkoobjemového kontejneru je zakázáno ukládat jiné složky komunálních odpadů, než pro které jsou určeny.</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Čl. 4</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Shromažďování směsného komunálního odpadu </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b0f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Směsný komunální odpad se shromažďuje do sběrných nádob a sběrných pytlů</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2"/>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 velikosti 60 l a 110 l). Pro účely této vyhlášky se sběrnými nádobami rozumějí</w:t>
      </w:r>
      <w:r w:rsidDel="00000000" w:rsidR="00000000" w:rsidRPr="00000000">
        <w:rPr>
          <w:rFonts w:ascii="Arial" w:cs="Arial" w:eastAsia="Arial" w:hAnsi="Arial"/>
          <w:b w:val="0"/>
          <w:i w:val="0"/>
          <w:smallCaps w:val="0"/>
          <w:strike w:val="0"/>
          <w:color w:val="00b0f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Arial" w:cs="Arial" w:eastAsia="Arial" w:hAnsi="Arial"/>
          <w:b w:val="0"/>
          <w:i w:val="0"/>
          <w:smallCaps w:val="0"/>
          <w:strike w:val="0"/>
          <w:color w:val="00b0f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typizované sběrné nádoby (popelnice)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 velikosti: 60 l, 80 l, 110 l, 120 l, 240 l,</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odpadkové koše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které jsou umístěny na veřejných prostranstvích v obci, sloužící pro odkládání drobného směsného komunálního odpadu.</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Stanoviště sběrných nádob je místo, kde jsou sběrné nádoby trvale nebo přechodně umístěny za účelem dalšího nakládání se směsným komunálním odpadem oprávněnou osobou. Stanoviště sběrných nádob jsou individuální nebo společná pro více uživatelů. Stanoviště sběrných pytlů je u sběrných nádob na směsný komunální odpad.</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Čl. 5</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Nakládání se stavebním odpadem</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Stavebním odpadem se rozumí stavební a demoliční odpad. Stavební odpad není odpadem komunálním.</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Stavební odpad lze použít, předat či odstranit pouze zákonem stanoveným způsobem</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3"/>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Čl. 6</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Závěrečná ustanovení</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Nabytím účinnosti této vyhlášky se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zrušuje Obecně závazná vyhláška obce Sobčice </w:t>
        <w:br w:type="textWrapping"/>
        <w:t xml:space="preserve">č. 01/2015,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 stanovení systému shromažďování, sběru, přepravy, třídění, využívání a odstraňování komunálních odpadů na území obce Sobčice, ze dne</w:t>
      </w:r>
      <w:r w:rsidDel="00000000" w:rsidR="00000000" w:rsidRPr="00000000">
        <w:rPr>
          <w:rFonts w:ascii="Arial" w:cs="Arial" w:eastAsia="Arial" w:hAnsi="Arial"/>
          <w:sz w:val="22"/>
          <w:szCs w:val="22"/>
          <w:rtl w:val="0"/>
        </w:rPr>
        <w:t xml:space="preserve"> 4.3.2015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Obecně závazná vyhláška obce Sobčice č. 02/2015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kterou se stanoví systém komunitního kompostování a způsob využití zeleného kompostu k údržbě a obnově veřejné zeleně na území obce Sobčice, ze dne </w:t>
      </w:r>
      <w:r w:rsidDel="00000000" w:rsidR="00000000" w:rsidRPr="00000000">
        <w:rPr>
          <w:rFonts w:ascii="Arial" w:cs="Arial" w:eastAsia="Arial" w:hAnsi="Arial"/>
          <w:sz w:val="22"/>
          <w:szCs w:val="22"/>
          <w:highlight w:val="white"/>
          <w:rtl w:val="0"/>
        </w:rPr>
        <w:t xml:space="preserve">4.3.2015.</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Tato vyhláška nabývá účinnosti patnáctým dnem po dni vyhlášení.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ab/>
        <w:tab/>
        <w:tab/>
        <w:tab/>
        <w:tab/>
        <w:tab/>
        <w:tab/>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ab/>
        <w:tab/>
        <w:tab/>
        <w:tab/>
        <w:t xml:space="preserv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Jaroslav Okrouhlecký</w:t>
        <w:tab/>
        <w:tab/>
        <w:tab/>
        <w:tab/>
        <w:tab/>
        <w:tab/>
        <w:t xml:space="preserve"> Bc. Petra Barešová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místostarosta</w:t>
        <w:tab/>
        <w:tab/>
        <w:tab/>
        <w:tab/>
        <w:tab/>
        <w:tab/>
        <w:tab/>
        <w:tab/>
        <w:t xml:space="preserve">starostka</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7020"/>
        </w:tabs>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Vyvěšeno na úřední desce dne: 1.6.2019</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7020"/>
        </w:tabs>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Sejmuto z úřední desky dne:</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7020"/>
        </w:tabs>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Zveřejnění bylo shodně provedeno na elektronické úřední desce.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footerReference r:id="rId9" w:type="default"/>
      <w:pgSz w:h="16838" w:w="11906" w:orient="portrait"/>
      <w:pgMar w:bottom="1134" w:top="1418" w:left="709" w:right="566"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vyhláška Ministerstva životního prostředí č. 93/2016 Sb., o Katalogu odpadů.</w:t>
      </w:r>
    </w:p>
  </w:footnote>
  <w:footnote w:id="1">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vyhláška Ministerstva životního prostředí č. 321/2014 Sb., o rozsahu a způsobu zajištění odděleného soustřeďování složek komunálního odpadu, ve znění pozdějších předpisů –  § 2 odst. 7 povinnost od 1.1. 2020.</w:t>
      </w:r>
      <w:r w:rsidDel="00000000" w:rsidR="00000000" w:rsidRPr="00000000">
        <w:rPr>
          <w:rtl w:val="0"/>
        </w:rPr>
      </w:r>
    </w:p>
  </w:footnote>
  <w:footnote w:id="2">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Sběrné pytle jsou k vyzvednutí na obecním úřadě a v obchodu s potravinami. </w:t>
      </w:r>
    </w:p>
  </w:footnote>
  <w:footnote w:id="3">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Pro odložení stavebního odpadu je možné objednat kontejner, který bude přistaven a odvezen za úplatu. </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b w:val="0"/>
        <w:i w:val="0"/>
        <w:u w:val="none"/>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lvl w:ilvl="0">
      <w:start w:val="1"/>
      <w:numFmt w:val="lowerLetter"/>
      <w:lvlText w:val="%1)"/>
      <w:lvlJc w:val="left"/>
      <w:pPr>
        <w:ind w:left="786" w:hanging="360.00000000000006"/>
      </w:pPr>
      <w:rPr>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3">
    <w:lvl w:ilvl="0">
      <w:start w:val="1"/>
      <w:numFmt w:val="lowerLetter"/>
      <w:lvlText w:val="%1)"/>
      <w:lvlJc w:val="left"/>
      <w:pPr>
        <w:ind w:left="786" w:hanging="360.00000000000006"/>
      </w:pPr>
      <w:rPr>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decimal"/>
      <w:lvlText w:val="%1)"/>
      <w:lvlJc w:val="left"/>
      <w:pPr>
        <w:ind w:left="360" w:hanging="360"/>
      </w:pPr>
      <w:rPr>
        <w:strike w:val="0"/>
        <w:color w:val="00000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lvl w:ilvl="0">
      <w:start w:val="1"/>
      <w:numFmt w:val="lowerLetter"/>
      <w:lvlText w:val="%1)"/>
      <w:lvlJc w:val="left"/>
      <w:pPr>
        <w:ind w:left="360" w:hanging="360"/>
      </w:pPr>
      <w:rPr>
        <w:rFonts w:ascii="Arial" w:cs="Arial" w:eastAsia="Arial" w:hAnsi="Arial"/>
        <w:color w:val="00000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ální">
    <w:name w:val="Normální"/>
    <w:next w:val="Normální"/>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cs-CZ" w:val="cs-CZ"/>
    </w:rPr>
  </w:style>
  <w:style w:type="paragraph" w:styleId="Nadpis2">
    <w:name w:val="Nadpis 2"/>
    <w:basedOn w:val="Normální"/>
    <w:next w:val="Normální"/>
    <w:autoRedefine w:val="0"/>
    <w:hidden w:val="0"/>
    <w:qFormat w:val="0"/>
    <w:pPr>
      <w:keepNext w:val="1"/>
      <w:suppressAutoHyphens w:val="1"/>
      <w:spacing w:line="1" w:lineRule="atLeast"/>
      <w:ind w:leftChars="-1" w:rightChars="0" w:firstLineChars="-1"/>
      <w:jc w:val="both"/>
      <w:textDirection w:val="btLr"/>
      <w:textAlignment w:val="top"/>
      <w:outlineLvl w:val="1"/>
    </w:pPr>
    <w:rPr>
      <w:w w:val="100"/>
      <w:position w:val="-1"/>
      <w:sz w:val="24"/>
      <w:szCs w:val="20"/>
      <w:u w:val="single"/>
      <w:effect w:val="none"/>
      <w:vertAlign w:val="baseline"/>
      <w:cs w:val="0"/>
      <w:em w:val="none"/>
      <w:lang w:bidi="ar-SA" w:eastAsia="cs-CZ" w:val="cs-CZ"/>
    </w:rPr>
  </w:style>
  <w:style w:type="character" w:styleId="Standardnípísmoodstavce">
    <w:name w:val="Standardní písmo odstavce"/>
    <w:next w:val="Standardnípísmoodstavce"/>
    <w:autoRedefine w:val="0"/>
    <w:hidden w:val="0"/>
    <w:qFormat w:val="0"/>
    <w:rPr>
      <w:w w:val="100"/>
      <w:position w:val="-1"/>
      <w:effect w:val="none"/>
      <w:vertAlign w:val="baseline"/>
      <w:cs w:val="0"/>
      <w:em w:val="none"/>
      <w:lang/>
    </w:rPr>
  </w:style>
  <w:style w:type="table" w:styleId="Normálnítabulka">
    <w:name w:val="Normální tabulka"/>
    <w:next w:val="Normálnítabulk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Normálnítabulka"/>
      <w:jc w:val="left"/>
      <w:tblInd w:w="0.0" w:type="dxa"/>
      <w:tblCellMar>
        <w:top w:w="0.0" w:type="dxa"/>
        <w:left w:w="108.0" w:type="dxa"/>
        <w:bottom w:w="0.0" w:type="dxa"/>
        <w:right w:w="108.0" w:type="dxa"/>
      </w:tblCellMar>
    </w:tblPr>
  </w:style>
  <w:style w:type="numbering" w:styleId="Bezseznamu">
    <w:name w:val="Bez seznamu"/>
    <w:next w:val="Bezseznamu"/>
    <w:autoRedefine w:val="0"/>
    <w:hidden w:val="0"/>
    <w:qFormat w:val="0"/>
    <w:pPr>
      <w:suppressAutoHyphens w:val="1"/>
      <w:spacing w:line="1" w:lineRule="atLeast"/>
      <w:ind w:leftChars="-1" w:rightChars="0" w:firstLineChars="-1"/>
      <w:textDirection w:val="btLr"/>
      <w:textAlignment w:val="top"/>
      <w:outlineLvl w:val="0"/>
    </w:pPr>
  </w:style>
  <w:style w:type="paragraph" w:styleId="Základnítextodsazený">
    <w:name w:val="Základní text odsazený"/>
    <w:basedOn w:val="Normální"/>
    <w:next w:val="Základnítextodsazený"/>
    <w:autoRedefine w:val="0"/>
    <w:hidden w:val="0"/>
    <w:qFormat w:val="0"/>
    <w:pPr>
      <w:suppressAutoHyphens w:val="1"/>
      <w:spacing w:line="1" w:lineRule="atLeast"/>
      <w:ind w:left="708" w:leftChars="-1" w:rightChars="0" w:firstLine="357" w:firstLineChars="-1"/>
      <w:jc w:val="both"/>
      <w:textDirection w:val="btLr"/>
      <w:textAlignment w:val="top"/>
      <w:outlineLvl w:val="0"/>
    </w:pPr>
    <w:rPr>
      <w:w w:val="100"/>
      <w:position w:val="-1"/>
      <w:sz w:val="24"/>
      <w:szCs w:val="20"/>
      <w:effect w:val="none"/>
      <w:vertAlign w:val="baseline"/>
      <w:cs w:val="0"/>
      <w:em w:val="none"/>
      <w:lang w:bidi="ar-SA" w:eastAsia="cs-CZ" w:val="cs-CZ"/>
    </w:rPr>
  </w:style>
  <w:style w:type="paragraph" w:styleId="Základnítextodsazený2">
    <w:name w:val="Základní text odsazený 2"/>
    <w:basedOn w:val="Normální"/>
    <w:next w:val="Základnítextodsazený2"/>
    <w:autoRedefine w:val="0"/>
    <w:hidden w:val="0"/>
    <w:qFormat w:val="0"/>
    <w:pPr>
      <w:suppressAutoHyphens w:val="1"/>
      <w:spacing w:line="1" w:lineRule="atLeast"/>
      <w:ind w:left="708" w:leftChars="-1" w:rightChars="0" w:firstLine="360" w:firstLineChars="-1"/>
      <w:jc w:val="both"/>
      <w:textDirection w:val="btLr"/>
      <w:textAlignment w:val="top"/>
      <w:outlineLvl w:val="0"/>
    </w:pPr>
    <w:rPr>
      <w:bCs w:val="1"/>
      <w:w w:val="100"/>
      <w:position w:val="-1"/>
      <w:sz w:val="24"/>
      <w:szCs w:val="20"/>
      <w:effect w:val="none"/>
      <w:vertAlign w:val="baseline"/>
      <w:cs w:val="0"/>
      <w:em w:val="none"/>
      <w:lang w:bidi="ar-SA" w:eastAsia="cs-CZ" w:val="cs-CZ"/>
    </w:rPr>
  </w:style>
  <w:style w:type="paragraph" w:styleId="Záhlaví">
    <w:name w:val="Záhlaví"/>
    <w:basedOn w:val="Normální"/>
    <w:next w:val="Záhlaví"/>
    <w:autoRedefine w:val="0"/>
    <w:hidden w:val="0"/>
    <w:qFormat w:val="0"/>
    <w:pPr>
      <w:tabs>
        <w:tab w:val="center" w:leader="none" w:pos="4536"/>
        <w:tab w:val="right" w:leader="none" w:pos="9072"/>
      </w:tabs>
      <w:suppressAutoHyphens w:val="1"/>
      <w:spacing w:line="1" w:lineRule="atLeast"/>
      <w:ind w:leftChars="-1" w:rightChars="0" w:firstLineChars="-1"/>
      <w:textDirection w:val="btLr"/>
      <w:textAlignment w:val="top"/>
      <w:outlineLvl w:val="0"/>
    </w:pPr>
    <w:rPr>
      <w:w w:val="100"/>
      <w:position w:val="-1"/>
      <w:sz w:val="24"/>
      <w:szCs w:val="20"/>
      <w:effect w:val="none"/>
      <w:vertAlign w:val="baseline"/>
      <w:cs w:val="0"/>
      <w:em w:val="none"/>
      <w:lang w:bidi="ar-SA" w:eastAsia="cs-CZ" w:val="cs-CZ"/>
    </w:rPr>
  </w:style>
  <w:style w:type="paragraph" w:styleId="Základnítext">
    <w:name w:val="Základní text"/>
    <w:basedOn w:val="Normální"/>
    <w:next w:val="Základnítext"/>
    <w:autoRedefine w:val="0"/>
    <w:hidden w:val="0"/>
    <w:qFormat w:val="0"/>
    <w:pPr>
      <w:suppressAutoHyphens w:val="1"/>
      <w:spacing w:after="120" w:line="1" w:lineRule="atLeast"/>
      <w:ind w:leftChars="-1" w:rightChars="0" w:firstLineChars="-1"/>
      <w:textDirection w:val="btLr"/>
      <w:textAlignment w:val="top"/>
      <w:outlineLvl w:val="0"/>
    </w:pPr>
    <w:rPr>
      <w:w w:val="100"/>
      <w:position w:val="-1"/>
      <w:sz w:val="24"/>
      <w:szCs w:val="20"/>
      <w:effect w:val="none"/>
      <w:vertAlign w:val="baseline"/>
      <w:cs w:val="0"/>
      <w:em w:val="none"/>
      <w:lang w:bidi="ar-SA" w:eastAsia="cs-CZ" w:val="cs-CZ"/>
    </w:rPr>
  </w:style>
  <w:style w:type="paragraph" w:styleId="Textpozn.podčarou">
    <w:name w:val="Text pozn. pod čarou"/>
    <w:basedOn w:val="Normální"/>
    <w:next w:val="Textpozn.podčarou"/>
    <w:autoRedefine w:val="0"/>
    <w:hidden w:val="0"/>
    <w:qFormat w:val="0"/>
    <w:pPr>
      <w:suppressAutoHyphens w:val="1"/>
      <w:spacing w:line="1" w:lineRule="atLeast"/>
      <w:ind w:leftChars="-1" w:rightChars="0" w:firstLineChars="-1"/>
      <w:textDirection w:val="btLr"/>
      <w:textAlignment w:val="top"/>
      <w:outlineLvl w:val="0"/>
    </w:pPr>
    <w:rPr>
      <w:noProof w:val="1"/>
      <w:w w:val="100"/>
      <w:position w:val="-1"/>
      <w:sz w:val="20"/>
      <w:szCs w:val="20"/>
      <w:effect w:val="none"/>
      <w:vertAlign w:val="baseline"/>
      <w:cs w:val="0"/>
      <w:em w:val="none"/>
      <w:lang w:bidi="ar-SA" w:eastAsia="und" w:val="und"/>
    </w:rPr>
  </w:style>
  <w:style w:type="character" w:styleId="Značkapozn.podčarou">
    <w:name w:val="Značka pozn. pod čarou"/>
    <w:next w:val="Značkapozn.podčarou"/>
    <w:autoRedefine w:val="0"/>
    <w:hidden w:val="0"/>
    <w:qFormat w:val="0"/>
    <w:rPr>
      <w:w w:val="100"/>
      <w:position w:val="-1"/>
      <w:effect w:val="none"/>
      <w:vertAlign w:val="superscript"/>
      <w:cs w:val="0"/>
      <w:em w:val="none"/>
      <w:lang/>
    </w:rPr>
  </w:style>
  <w:style w:type="paragraph" w:styleId="Normální_IMP">
    <w:name w:val="Normální_IMP"/>
    <w:basedOn w:val="Normální"/>
    <w:next w:val="Normální_IMP"/>
    <w:autoRedefine w:val="0"/>
    <w:hidden w:val="0"/>
    <w:qFormat w:val="0"/>
    <w:pPr>
      <w:suppressAutoHyphens w:val="0"/>
      <w:overflowPunct w:val="0"/>
      <w:autoSpaceDE w:val="0"/>
      <w:autoSpaceDN w:val="0"/>
      <w:adjustRightInd w:val="0"/>
      <w:spacing w:line="230" w:lineRule="auto"/>
      <w:ind w:leftChars="-1" w:rightChars="0" w:firstLineChars="-1"/>
      <w:jc w:val="both"/>
      <w:textDirection w:val="btLr"/>
      <w:textAlignment w:val="baseline"/>
      <w:outlineLvl w:val="0"/>
    </w:pPr>
    <w:rPr>
      <w:w w:val="100"/>
      <w:position w:val="-1"/>
      <w:sz w:val="24"/>
      <w:szCs w:val="20"/>
      <w:effect w:val="none"/>
      <w:vertAlign w:val="baseline"/>
      <w:cs w:val="0"/>
      <w:em w:val="none"/>
      <w:lang w:bidi="ar-SA" w:eastAsia="cs-CZ" w:val="cs-CZ"/>
    </w:rPr>
  </w:style>
  <w:style w:type="character" w:styleId="Odkaznakomentář">
    <w:name w:val="Odkaz na komentář"/>
    <w:next w:val="Odkaznakomentář"/>
    <w:autoRedefine w:val="0"/>
    <w:hidden w:val="0"/>
    <w:qFormat w:val="0"/>
    <w:rPr>
      <w:w w:val="100"/>
      <w:position w:val="-1"/>
      <w:sz w:val="16"/>
      <w:szCs w:val="16"/>
      <w:effect w:val="none"/>
      <w:vertAlign w:val="baseline"/>
      <w:cs w:val="0"/>
      <w:em w:val="none"/>
      <w:lang/>
    </w:rPr>
  </w:style>
  <w:style w:type="paragraph" w:styleId="Textkomentáře">
    <w:name w:val="Text komentáře"/>
    <w:basedOn w:val="Normální"/>
    <w:next w:val="Textkomentáře"/>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cs-CZ" w:val="cs-CZ"/>
    </w:rPr>
  </w:style>
  <w:style w:type="paragraph" w:styleId="Základnítextodsazený3">
    <w:name w:val="Základní text odsazený 3"/>
    <w:basedOn w:val="Normální"/>
    <w:next w:val="Základnítextodsazený3"/>
    <w:autoRedefine w:val="0"/>
    <w:hidden w:val="0"/>
    <w:qFormat w:val="0"/>
    <w:pPr>
      <w:widowControl w:val="0"/>
      <w:tabs>
        <w:tab w:val="num" w:leader="none" w:pos="540"/>
      </w:tabs>
      <w:suppressAutoHyphens w:val="1"/>
      <w:spacing w:line="1" w:lineRule="atLeast"/>
      <w:ind w:left="540" w:leftChars="-1" w:rightChars="0" w:hanging="540" w:firstLineChars="-1"/>
      <w:jc w:val="both"/>
      <w:textDirection w:val="btLr"/>
      <w:textAlignment w:val="top"/>
      <w:outlineLvl w:val="0"/>
    </w:pPr>
    <w:rPr>
      <w:bCs w:val="1"/>
      <w:w w:val="100"/>
      <w:position w:val="-1"/>
      <w:sz w:val="24"/>
      <w:szCs w:val="24"/>
      <w:effect w:val="none"/>
      <w:vertAlign w:val="baseline"/>
      <w:cs w:val="0"/>
      <w:em w:val="none"/>
      <w:lang w:bidi="ar-SA" w:eastAsia="cs-CZ" w:val="cs-CZ"/>
    </w:rPr>
  </w:style>
  <w:style w:type="paragraph" w:styleId="Textbubliny">
    <w:name w:val="Text bubliny"/>
    <w:basedOn w:val="Normální"/>
    <w:next w:val="Textbubliny"/>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cs-CZ" w:val="cs-CZ"/>
    </w:rPr>
  </w:style>
  <w:style w:type="paragraph" w:styleId="Odstavecseseznamem">
    <w:name w:val="Odstavec se seznamem"/>
    <w:basedOn w:val="Normální"/>
    <w:next w:val="Odstavecseseznamem"/>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eastAsia="Calibri" w:hAnsi="Calibri"/>
      <w:w w:val="100"/>
      <w:position w:val="-1"/>
      <w:sz w:val="22"/>
      <w:szCs w:val="22"/>
      <w:effect w:val="none"/>
      <w:vertAlign w:val="baseline"/>
      <w:cs w:val="0"/>
      <w:em w:val="none"/>
      <w:lang w:bidi="ar-SA" w:eastAsia="en-US" w:val="cs-CZ"/>
    </w:rPr>
  </w:style>
  <w:style w:type="paragraph" w:styleId="Předmětkomentáře">
    <w:name w:val="Předmět komentáře"/>
    <w:basedOn w:val="Textkomentáře"/>
    <w:next w:val="Textkomentáře"/>
    <w:autoRedefine w:val="0"/>
    <w:hidden w:val="0"/>
    <w:qFormat w:val="1"/>
    <w:pPr>
      <w:suppressAutoHyphens w:val="1"/>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und" w:val="und"/>
    </w:rPr>
  </w:style>
  <w:style w:type="character" w:styleId="TextkomentářeChar">
    <w:name w:val="Text komentáře Char"/>
    <w:basedOn w:val="Standardnípísmoodstavce"/>
    <w:next w:val="TextkomentářeChar"/>
    <w:autoRedefine w:val="0"/>
    <w:hidden w:val="0"/>
    <w:qFormat w:val="0"/>
    <w:rPr>
      <w:w w:val="100"/>
      <w:position w:val="-1"/>
      <w:effect w:val="none"/>
      <w:vertAlign w:val="baseline"/>
      <w:cs w:val="0"/>
      <w:em w:val="none"/>
      <w:lang/>
    </w:rPr>
  </w:style>
  <w:style w:type="character" w:styleId="PředmětkomentářeChar">
    <w:name w:val="Předmět komentáře Char"/>
    <w:next w:val="PředmětkomentářeChar"/>
    <w:autoRedefine w:val="0"/>
    <w:hidden w:val="0"/>
    <w:qFormat w:val="0"/>
    <w:rPr>
      <w:b w:val="1"/>
      <w:bCs w:val="1"/>
      <w:w w:val="100"/>
      <w:position w:val="-1"/>
      <w:effect w:val="none"/>
      <w:vertAlign w:val="baseline"/>
      <w:cs w:val="0"/>
      <w:em w:val="none"/>
      <w:lang/>
    </w:rPr>
  </w:style>
  <w:style w:type="paragraph" w:styleId="Zápatí">
    <w:name w:val="Zápatí"/>
    <w:basedOn w:val="Normální"/>
    <w:next w:val="Zápatí"/>
    <w:autoRedefine w:val="0"/>
    <w:hidden w:val="0"/>
    <w:qFormat w:val="1"/>
    <w:pPr>
      <w:tabs>
        <w:tab w:val="center" w:leader="none" w:pos="4536"/>
        <w:tab w:val="right" w:leader="none" w:pos="9072"/>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ZápatíChar">
    <w:name w:val="Zápatí Char"/>
    <w:next w:val="ZápatíChar"/>
    <w:autoRedefine w:val="0"/>
    <w:hidden w:val="0"/>
    <w:qFormat w:val="0"/>
    <w:rPr>
      <w:w w:val="100"/>
      <w:position w:val="-1"/>
      <w:sz w:val="24"/>
      <w:szCs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y3ZBbB/jDBlxSLAlsvgPxOFqw==">AMUW2mWUix/81pVEHKq7svxWMB9lQoVsp09z9ngjngresCq5l5vEW2ZTqSbBuxbQzLeBiZaayTGLMOJ+mPVGc3Rvm9Ty4qktxqAyenPnt3ZSLjrpwhkgNSk=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2019-06-26T06:20:00Z</dcterms:created>
  <dc:creator>DA210036</dc:creator>
</cp:coreProperties>
</file>

<file path=docProps/custom.xml><?xml version="1.0" encoding="utf-8"?>
<Properties xmlns="http://schemas.openxmlformats.org/officeDocument/2006/custom-properties" xmlns:vt="http://schemas.openxmlformats.org/officeDocument/2006/docPropsVTypes"/>
</file>