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1"/>
          <w:i w:val="0"/>
          <w:smallCaps w:val="0"/>
          <w:strike w:val="0"/>
          <w:color w:val="000000"/>
          <w:sz w:val="40"/>
          <w:szCs w:val="40"/>
          <w:u w:val="none"/>
          <w:shd w:fill="auto" w:val="clear"/>
          <w:vertAlign w:val="baseline"/>
          <w:rtl w:val="0"/>
        </w:rPr>
        <w:t xml:space="preserve">OBEC SOBČICE</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1"/>
          <w:i w:val="0"/>
          <w:smallCaps w:val="0"/>
          <w:strike w:val="0"/>
          <w:color w:val="000000"/>
          <w:sz w:val="40"/>
          <w:szCs w:val="40"/>
          <w:u w:val="none"/>
          <w:shd w:fill="auto" w:val="clear"/>
          <w:vertAlign w:val="baseline"/>
          <w:rtl w:val="0"/>
        </w:rPr>
        <w:t xml:space="preserve">Sobčice 25, 508 01 Hořice</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25401</wp:posOffset>
                </wp:positionH>
                <wp:positionV relativeFrom="paragraph">
                  <wp:posOffset>127000</wp:posOffset>
                </wp:positionV>
                <wp:extent cx="0" cy="12700"/>
                <wp:effectExtent b="0" l="0" r="0" t="0"/>
                <wp:wrapNone/>
                <wp:docPr id="1" name=""/>
                <a:graphic>
                  <a:graphicData uri="http://schemas.microsoft.com/office/word/2010/wordprocessingShape">
                    <wps:wsp>
                      <wps:cNvCnPr/>
                      <wps:spPr>
                        <a:xfrm>
                          <a:off x="1974150" y="3780000"/>
                          <a:ext cx="6743700" cy="0"/>
                        </a:xfrm>
                        <a:prstGeom prst="straightConnector1">
                          <a:avLst/>
                        </a:prstGeom>
                        <a:solidFill>
                          <a:srgbClr val="FFFFFF"/>
                        </a:solid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127000</wp:posOffset>
                </wp:positionV>
                <wp:extent cx="0" cy="1270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Obecně závazná vyhláška obce Sobčice č. 01/2019,</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 stanovení systému shromažďování, sběru, přepravy, třídění, využívání a odstraňování komunálních odpadů a nakládání se stavebním odpadem na území obce Sobčice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Zastupitelstvo obce Sobčice se na svém zasedání dne 31. 5. 2019 usnesením č. 6 usneslo vydat na základě § 17 odst. 2 zákona č. 185/2001 Sb., o odpadech a o změně některých dalších zákonů, ve znění pozdějších předpisů, a v souladu s § 10 písm. d) a § 84 odst. 2 písm. h) zákona č. 128/2000 Sb., o obcích (obecní zřízení), ve znění pozdějších předpisů, tuto obecně závaznou vyhlášku (dále jen „vyhláška“):</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Čl. 1</w:t>
      </w:r>
      <w:r w:rsidDel="00000000" w:rsidR="00000000" w:rsidRPr="00000000">
        <w:rPr>
          <w:rtl w:val="0"/>
        </w:rPr>
      </w:r>
    </w:p>
    <w:p w:rsidR="00000000" w:rsidDel="00000000" w:rsidP="00000000" w:rsidRDefault="00000000" w:rsidRPr="00000000" w14:paraId="0000000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Úvodní ustanovení</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Tato vyhláška stanovuje systém shromažďování, sběru, přepravy, třídění, využívání a odstraňování komunálních odpadů vznikajících na území obce Sobčice, včetně nakládání se stavebním odpadem</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0"/>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Čl. 2</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Třídění komunálního odpadu</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26" w:right="0" w:hanging="42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Komunální odpad se třídí na složky:</w:t>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pos="567"/>
        </w:tabs>
        <w:spacing w:after="0" w:before="0" w:line="240" w:lineRule="auto"/>
        <w:ind w:left="78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papír,</w:t>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pos="567"/>
        </w:tabs>
        <w:spacing w:after="0" w:before="0" w:line="240" w:lineRule="auto"/>
        <w:ind w:left="78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plasty včetně PET lahví (dále jen „plasty“),</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pos="567"/>
        </w:tabs>
        <w:spacing w:after="0" w:before="0" w:line="240" w:lineRule="auto"/>
        <w:ind w:left="78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nápojové kartony,</w:t>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8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sklo,</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8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kovy,</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8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biologické odpady rostlinného původu,</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8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nebezpečné odpady,</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8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objemný odpad,</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8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jedlé oleje a tuky</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1"/>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86"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směsný komunální odpad.</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b0f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26" w:right="0" w:hanging="42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Objemný odpad je takový odpad, který vzhledem ke svým rozměrům nemůže být umístěn do sběrných nádob (např. koberce, matrace, nábytek apod.).</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hanging="42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26" w:right="0" w:hanging="42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Směsným komunálním odpadem se rozumí zbylý komunální odpad po stanoveném vytřídění podle odstavce 1 písm. a) až i).</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Čl. 3</w:t>
      </w:r>
      <w:r w:rsidDel="00000000" w:rsidR="00000000" w:rsidRPr="00000000">
        <w:rPr>
          <w:rtl w:val="0"/>
        </w:rPr>
      </w:r>
    </w:p>
    <w:p w:rsidR="00000000" w:rsidDel="00000000" w:rsidP="00000000" w:rsidRDefault="00000000" w:rsidRPr="00000000" w14:paraId="0000002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Shromažďování, sběr a svoz tříděného komunálního odpadu</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Tříděný komunální odpad je shromažďován do zvláštních sběrných nádob a velkoobjemového kontejneru.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Zvláštní sběrné nádoby jsou umístěny na těchto stanovištích: </w:t>
      </w:r>
    </w:p>
    <w:p w:rsidR="00000000" w:rsidDel="00000000" w:rsidP="00000000" w:rsidRDefault="00000000" w:rsidRPr="00000000" w14:paraId="0000002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2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sběrné nádoby na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jedlé oleje a tuky, papír, sklo, nápojové kartony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plasty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jsou umístěny u obchodu se smíšeným zbožím,</w:t>
      </w:r>
    </w:p>
    <w:p w:rsidR="00000000" w:rsidDel="00000000" w:rsidP="00000000" w:rsidRDefault="00000000" w:rsidRPr="00000000" w14:paraId="0000002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2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Sběrné nádoby na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kovy, papír, sklo, nápojové kartony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plasty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jsou umístěny „na plácku“ pod budovou obecního úřadu.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 odkládání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biologického odpadu rostlinného původu</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je celoročně určen velkoobjemový kontejner umístěný na p. č. st. 34/3 v k. ú. Sobčice.</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Zvláštní sběrné nádoby a velkoobjemový kontejner jsou barevně odlišeny a označeny příslušnými nápisy:</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567"/>
        </w:tabs>
        <w:spacing w:after="0" w:before="0" w:line="240" w:lineRule="auto"/>
        <w:ind w:left="786"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papír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sběrná nádoba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barvy modré</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567"/>
        </w:tabs>
        <w:spacing w:after="0" w:before="0" w:line="240" w:lineRule="auto"/>
        <w:ind w:left="786"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plasty, nápojové kartony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sběrná nádoba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barvy žluté</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86"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sklo -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sběrná nádoba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barvy zelené,</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86"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kovy -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sběrná nádoba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barvy červené,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označena nápisem KOVY,</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86"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biologické odpady rostlinného původu</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velkoobjemový kontejner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modré barvy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86"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jedlé oleje a tuky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sběrná nádoba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barvy žluté</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označena nápisem „Jedlé oleje a tuky z domácností“.</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Sběr a svoz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nebezpečných složek komunálního odpadu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objemného odpadu</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je zajišťován dvakrát ročně jejich odebíráním na předem vyhlášených přechodných stanovištích přímo do zvláštních sběrných nádob. Informace o sběru jsou zveřejňovány na pevné i elektronické úřední desce obecního úřadu, v místním rozhlase, popřípadě v obecním zpravodaji.</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 zvláštních sběrných nádob a velkoobjemového kontejneru je zakázáno ukládat jiné složky komunálních odpadů, než pro které jsou určeny.</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Čl. 4</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Shromažďování směsného komunálního odpadu </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Arial" w:cs="Arial" w:eastAsia="Arial" w:hAnsi="Arial"/>
          <w:b w:val="0"/>
          <w:i w:val="0"/>
          <w:smallCaps w:val="0"/>
          <w:strike w:val="0"/>
          <w:color w:val="00b0f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Směsný komunální odpad se shromažďuje do sběrných nádob a sběrných pytlů</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2"/>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 velikosti 60 l a 110 l). Pro účely této vyhlášky se sběrnými nádobami rozumějí</w:t>
      </w:r>
      <w:r w:rsidDel="00000000" w:rsidR="00000000" w:rsidRPr="00000000">
        <w:rPr>
          <w:rFonts w:ascii="Arial" w:cs="Arial" w:eastAsia="Arial" w:hAnsi="Arial"/>
          <w:b w:val="0"/>
          <w:i w:val="0"/>
          <w:smallCaps w:val="0"/>
          <w:strike w:val="0"/>
          <w:color w:val="00b0f0"/>
          <w:sz w:val="22"/>
          <w:szCs w:val="22"/>
          <w:u w:val="none"/>
          <w:shd w:fill="auto" w:val="clear"/>
          <w:vertAlign w:val="baseline"/>
          <w:rtl w:val="0"/>
        </w:rPr>
        <w:t xml:space="preserve">:</w:t>
      </w:r>
    </w:p>
    <w:p w:rsidR="00000000" w:rsidDel="00000000" w:rsidP="00000000" w:rsidRDefault="00000000" w:rsidRPr="00000000" w14:paraId="0000003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Arial" w:cs="Arial" w:eastAsia="Arial" w:hAnsi="Arial"/>
          <w:b w:val="0"/>
          <w:i w:val="0"/>
          <w:smallCaps w:val="0"/>
          <w:strike w:val="0"/>
          <w:color w:val="00b0f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typizované sběrné nádoby (popelnice)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 velikosti: 60 l, 80 l, 110 l, 120 l, 240 l,</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odpadkové koše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které jsou umístěny na veřejných prostranstvích v obci, sloužící pro odkládání drobného směsného komunálního odpadu.</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Stanoviště sběrných pytlů je u sběrných nádob na směsný komunální odpad.</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Čl. 5</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Nakládání se stavebním odpadem</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Stavebním odpadem se rozumí stavební a demoliční odpad. Stavební odpad není odpadem komunálním.</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Stavební odpad lze použít, předat či odstranit pouze zákonem stanoveným způsobem</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3"/>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Čl. 6</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Závěrečná ustanovení</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Nabytím účinnosti této vyhlášky se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zrušuje Obecně závazná vyhláška obce Sobčice </w:t>
        <w:br w:type="textWrapping"/>
        <w:t xml:space="preserve">č. 01/2015,</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 stanovení systému shromažďování, sběru, přepravy, třídění, využívání a odstraňování komunálních odpadů na území obce Sobčice, ze dne</w:t>
      </w:r>
      <w:r w:rsidDel="00000000" w:rsidR="00000000" w:rsidRPr="00000000">
        <w:rPr>
          <w:rFonts w:ascii="Arial" w:cs="Arial" w:eastAsia="Arial" w:hAnsi="Arial"/>
          <w:sz w:val="22"/>
          <w:szCs w:val="22"/>
          <w:rtl w:val="0"/>
        </w:rPr>
        <w:t xml:space="preserve"> 4.3.2015</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Obecně závazná vyhláška obce Sobčice č. 02/2015</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kterou se stanoví systém komunitního kompostování a způsob využití zeleného kompostu k údržbě a obnově veřejné zeleně na území obce Sobčice, ze dne </w:t>
      </w:r>
      <w:r w:rsidDel="00000000" w:rsidR="00000000" w:rsidRPr="00000000">
        <w:rPr>
          <w:rFonts w:ascii="Arial" w:cs="Arial" w:eastAsia="Arial" w:hAnsi="Arial"/>
          <w:sz w:val="22"/>
          <w:szCs w:val="22"/>
          <w:highlight w:val="white"/>
          <w:rtl w:val="0"/>
        </w:rPr>
        <w:t xml:space="preserve">4.3.2015.</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Tato vyhláška nabývá účinnosti patnáctým dnem po dni vyhlášení.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ab/>
        <w:tab/>
        <w:tab/>
        <w:tab/>
        <w:tab/>
        <w:tab/>
        <w:tab/>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ab/>
        <w:tab/>
        <w:tab/>
        <w:tab/>
        <w:t xml:space="preserve">………………………....</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Jaroslav Okrouhlecký</w:t>
        <w:tab/>
        <w:tab/>
        <w:tab/>
        <w:tab/>
        <w:tab/>
        <w:tab/>
        <w:t xml:space="preserve"> Bc. Petra Barešová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místostarosta</w:t>
        <w:tab/>
        <w:tab/>
        <w:tab/>
        <w:tab/>
        <w:tab/>
        <w:tab/>
        <w:tab/>
        <w:tab/>
        <w:t xml:space="preserve">starostka</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080"/>
          <w:tab w:val="left" w:pos="7020"/>
        </w:tabs>
        <w:spacing w:after="12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Vyvěšeno na úřední desce dne: 1.6.2019</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080"/>
          <w:tab w:val="left" w:pos="7020"/>
        </w:tabs>
        <w:spacing w:after="12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Sejmuto z úřední desky dne:</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080"/>
          <w:tab w:val="left" w:pos="7020"/>
        </w:tabs>
        <w:spacing w:after="12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Zveřejnění bylo shodně provedeno na elektronické úřední desce.</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footerReference r:id="rId9" w:type="default"/>
      <w:pgSz w:h="16838" w:w="11906" w:orient="portrait"/>
      <w:pgMar w:bottom="1134" w:top="1418" w:left="709" w:right="566"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vyhláška Ministerstva životního prostředí č. 93/2016 Sb., o Katalogu odpadů.</w:t>
      </w:r>
    </w:p>
  </w:footnote>
  <w:footnote w:id="1">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vyhláška Ministerstva životního prostředí č. 321/2014 Sb., o rozsahu a způsobu zajištění odděleného soustřeďování složek komunálního odpadu, ve znění pozdějších předpisů –  § 2 odst. 7 povinnost od 1.1. 2020.</w:t>
      </w:r>
      <w:r w:rsidDel="00000000" w:rsidR="00000000" w:rsidRPr="00000000">
        <w:rPr>
          <w:rtl w:val="0"/>
        </w:rPr>
      </w:r>
    </w:p>
  </w:footnote>
  <w:footnote w:id="2">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Sběrné pytle jsou k vyzvednutí na obecním úřadě a v obchodu s potravinami. </w:t>
      </w:r>
    </w:p>
  </w:footnote>
  <w:footnote w:id="3">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Pro odložení stavebního odpadu je možné objednat kontejner, který bude přistaven a odvezen za úplatu. </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b w:val="0"/>
        <w:i w:val="0"/>
        <w:u w:val="none"/>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lvl w:ilvl="0">
      <w:start w:val="1"/>
      <w:numFmt w:val="lowerLetter"/>
      <w:lvlText w:val="%1)"/>
      <w:lvlJc w:val="left"/>
      <w:pPr>
        <w:ind w:left="786" w:hanging="360.00000000000006"/>
      </w:pPr>
      <w:rPr>
        <w:vertAlign w:val="baseline"/>
      </w:rPr>
    </w:lvl>
    <w:lvl w:ilvl="1">
      <w:start w:val="1"/>
      <w:numFmt w:val="lowerLetter"/>
      <w:lvlText w:val="%2."/>
      <w:lvlJc w:val="left"/>
      <w:pPr>
        <w:ind w:left="1506" w:hanging="360"/>
      </w:pPr>
      <w:rPr>
        <w:vertAlign w:val="baseline"/>
      </w:rPr>
    </w:lvl>
    <w:lvl w:ilvl="2">
      <w:start w:val="1"/>
      <w:numFmt w:val="lowerRoman"/>
      <w:lvlText w:val="%3."/>
      <w:lvlJc w:val="right"/>
      <w:pPr>
        <w:ind w:left="2226" w:hanging="180"/>
      </w:pPr>
      <w:rPr>
        <w:vertAlign w:val="baseline"/>
      </w:rPr>
    </w:lvl>
    <w:lvl w:ilvl="3">
      <w:start w:val="1"/>
      <w:numFmt w:val="decimal"/>
      <w:lvlText w:val="%4."/>
      <w:lvlJc w:val="left"/>
      <w:pPr>
        <w:ind w:left="2946" w:hanging="360"/>
      </w:pPr>
      <w:rPr>
        <w:vertAlign w:val="baseline"/>
      </w:rPr>
    </w:lvl>
    <w:lvl w:ilvl="4">
      <w:start w:val="1"/>
      <w:numFmt w:val="lowerLetter"/>
      <w:lvlText w:val="%5."/>
      <w:lvlJc w:val="left"/>
      <w:pPr>
        <w:ind w:left="3666" w:hanging="360"/>
      </w:pPr>
      <w:rPr>
        <w:vertAlign w:val="baseline"/>
      </w:rPr>
    </w:lvl>
    <w:lvl w:ilvl="5">
      <w:start w:val="1"/>
      <w:numFmt w:val="lowerRoman"/>
      <w:lvlText w:val="%6."/>
      <w:lvlJc w:val="right"/>
      <w:pPr>
        <w:ind w:left="4386" w:hanging="180"/>
      </w:pPr>
      <w:rPr>
        <w:vertAlign w:val="baseline"/>
      </w:rPr>
    </w:lvl>
    <w:lvl w:ilvl="6">
      <w:start w:val="1"/>
      <w:numFmt w:val="decimal"/>
      <w:lvlText w:val="%7."/>
      <w:lvlJc w:val="left"/>
      <w:pPr>
        <w:ind w:left="5106" w:hanging="360"/>
      </w:pPr>
      <w:rPr>
        <w:vertAlign w:val="baseline"/>
      </w:rPr>
    </w:lvl>
    <w:lvl w:ilvl="7">
      <w:start w:val="1"/>
      <w:numFmt w:val="lowerLetter"/>
      <w:lvlText w:val="%8."/>
      <w:lvlJc w:val="left"/>
      <w:pPr>
        <w:ind w:left="5826" w:hanging="360"/>
      </w:pPr>
      <w:rPr>
        <w:vertAlign w:val="baseline"/>
      </w:rPr>
    </w:lvl>
    <w:lvl w:ilvl="8">
      <w:start w:val="1"/>
      <w:numFmt w:val="lowerRoman"/>
      <w:lvlText w:val="%9."/>
      <w:lvlJc w:val="right"/>
      <w:pPr>
        <w:ind w:left="6546" w:hanging="180"/>
      </w:pPr>
      <w:rPr>
        <w:vertAlign w:val="baseline"/>
      </w:rPr>
    </w:lvl>
  </w:abstractNum>
  <w:abstractNum w:abstractNumId="3">
    <w:lvl w:ilvl="0">
      <w:start w:val="1"/>
      <w:numFmt w:val="lowerLetter"/>
      <w:lvlText w:val="%1)"/>
      <w:lvlJc w:val="left"/>
      <w:pPr>
        <w:ind w:left="786" w:hanging="360.00000000000006"/>
      </w:pPr>
      <w:rPr>
        <w:vertAlign w:val="baseline"/>
      </w:rPr>
    </w:lvl>
    <w:lvl w:ilvl="1">
      <w:start w:val="1"/>
      <w:numFmt w:val="lowerLetter"/>
      <w:lvlText w:val="%2."/>
      <w:lvlJc w:val="left"/>
      <w:pPr>
        <w:ind w:left="1506" w:hanging="360"/>
      </w:pPr>
      <w:rPr>
        <w:vertAlign w:val="baseline"/>
      </w:rPr>
    </w:lvl>
    <w:lvl w:ilvl="2">
      <w:start w:val="1"/>
      <w:numFmt w:val="lowerRoman"/>
      <w:lvlText w:val="%3."/>
      <w:lvlJc w:val="right"/>
      <w:pPr>
        <w:ind w:left="2226" w:hanging="180"/>
      </w:pPr>
      <w:rPr>
        <w:vertAlign w:val="baseline"/>
      </w:rPr>
    </w:lvl>
    <w:lvl w:ilvl="3">
      <w:start w:val="1"/>
      <w:numFmt w:val="decimal"/>
      <w:lvlText w:val="%4."/>
      <w:lvlJc w:val="left"/>
      <w:pPr>
        <w:ind w:left="2946" w:hanging="360"/>
      </w:pPr>
      <w:rPr>
        <w:vertAlign w:val="baseline"/>
      </w:rPr>
    </w:lvl>
    <w:lvl w:ilvl="4">
      <w:start w:val="1"/>
      <w:numFmt w:val="lowerLetter"/>
      <w:lvlText w:val="%5."/>
      <w:lvlJc w:val="left"/>
      <w:pPr>
        <w:ind w:left="3666" w:hanging="360"/>
      </w:pPr>
      <w:rPr>
        <w:vertAlign w:val="baseline"/>
      </w:rPr>
    </w:lvl>
    <w:lvl w:ilvl="5">
      <w:start w:val="1"/>
      <w:numFmt w:val="lowerRoman"/>
      <w:lvlText w:val="%6."/>
      <w:lvlJc w:val="right"/>
      <w:pPr>
        <w:ind w:left="4386" w:hanging="180"/>
      </w:pPr>
      <w:rPr>
        <w:vertAlign w:val="baseline"/>
      </w:rPr>
    </w:lvl>
    <w:lvl w:ilvl="6">
      <w:start w:val="1"/>
      <w:numFmt w:val="decimal"/>
      <w:lvlText w:val="%7."/>
      <w:lvlJc w:val="left"/>
      <w:pPr>
        <w:ind w:left="5106" w:hanging="360"/>
      </w:pPr>
      <w:rPr>
        <w:vertAlign w:val="baseline"/>
      </w:rPr>
    </w:lvl>
    <w:lvl w:ilvl="7">
      <w:start w:val="1"/>
      <w:numFmt w:val="lowerLetter"/>
      <w:lvlText w:val="%8."/>
      <w:lvlJc w:val="left"/>
      <w:pPr>
        <w:ind w:left="5826" w:hanging="360"/>
      </w:pPr>
      <w:rPr>
        <w:vertAlign w:val="baseline"/>
      </w:rPr>
    </w:lvl>
    <w:lvl w:ilvl="8">
      <w:start w:val="1"/>
      <w:numFmt w:val="lowerRoman"/>
      <w:lvlText w:val="%9."/>
      <w:lvlJc w:val="right"/>
      <w:pPr>
        <w:ind w:left="6546" w:hanging="180"/>
      </w:pPr>
      <w:rPr>
        <w:vertAlign w:val="baseline"/>
      </w:rPr>
    </w:lvl>
  </w:abstractNum>
  <w:abstractNum w:abstractNumId="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lvl w:ilvl="0">
      <w:start w:val="1"/>
      <w:numFmt w:val="decimal"/>
      <w:lvlText w:val="%1)"/>
      <w:lvlJc w:val="left"/>
      <w:pPr>
        <w:ind w:left="360" w:hanging="360"/>
      </w:pPr>
      <w:rPr>
        <w:strike w:val="0"/>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
    <w:lvl w:ilvl="0">
      <w:start w:val="1"/>
      <w:numFmt w:val="lowerLetter"/>
      <w:lvlText w:val="%1)"/>
      <w:lvlJc w:val="left"/>
      <w:pPr>
        <w:ind w:left="360" w:hanging="360"/>
      </w:pPr>
      <w:rPr>
        <w:rFonts w:ascii="Arial" w:cs="Arial" w:eastAsia="Arial" w:hAnsi="Arial"/>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ální">
    <w:name w:val="Normální"/>
    <w:next w:val="Normální"/>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cs-CZ" w:val="cs-CZ"/>
    </w:rPr>
  </w:style>
  <w:style w:type="paragraph" w:styleId="Nadpis2">
    <w:name w:val="Nadpis 2"/>
    <w:basedOn w:val="Normální"/>
    <w:next w:val="Normální"/>
    <w:autoRedefine w:val="0"/>
    <w:hidden w:val="0"/>
    <w:qFormat w:val="0"/>
    <w:pPr>
      <w:keepNext w:val="1"/>
      <w:suppressAutoHyphens w:val="1"/>
      <w:spacing w:line="1" w:lineRule="atLeast"/>
      <w:ind w:leftChars="-1" w:rightChars="0" w:firstLineChars="-1"/>
      <w:jc w:val="both"/>
      <w:textDirection w:val="btLr"/>
      <w:textAlignment w:val="top"/>
      <w:outlineLvl w:val="1"/>
    </w:pPr>
    <w:rPr>
      <w:w w:val="100"/>
      <w:position w:val="-1"/>
      <w:sz w:val="24"/>
      <w:szCs w:val="20"/>
      <w:u w:val="single"/>
      <w:effect w:val="none"/>
      <w:vertAlign w:val="baseline"/>
      <w:cs w:val="0"/>
      <w:em w:val="none"/>
      <w:lang w:bidi="ar-SA" w:eastAsia="cs-CZ" w:val="cs-CZ"/>
    </w:rPr>
  </w:style>
  <w:style w:type="character" w:styleId="Standardnípísmoodstavce">
    <w:name w:val="Standardní písmo odstavce"/>
    <w:next w:val="Standardnípísmoodstavce"/>
    <w:autoRedefine w:val="0"/>
    <w:hidden w:val="0"/>
    <w:qFormat w:val="0"/>
    <w:rPr>
      <w:w w:val="100"/>
      <w:position w:val="-1"/>
      <w:effect w:val="none"/>
      <w:vertAlign w:val="baseline"/>
      <w:cs w:val="0"/>
      <w:em w:val="none"/>
      <w:lang/>
    </w:rPr>
  </w:style>
  <w:style w:type="table" w:styleId="Normálnítabulka">
    <w:name w:val="Normální tabulka"/>
    <w:next w:val="Normálnítabulk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Normálnítabulka"/>
      <w:jc w:val="left"/>
      <w:tblInd w:w="0.0" w:type="dxa"/>
      <w:tblCellMar>
        <w:top w:w="0.0" w:type="dxa"/>
        <w:left w:w="108.0" w:type="dxa"/>
        <w:bottom w:w="0.0" w:type="dxa"/>
        <w:right w:w="108.0" w:type="dxa"/>
      </w:tblCellMar>
    </w:tblPr>
  </w:style>
  <w:style w:type="numbering" w:styleId="Bezseznamu">
    <w:name w:val="Bez seznamu"/>
    <w:next w:val="Bezseznamu"/>
    <w:autoRedefine w:val="0"/>
    <w:hidden w:val="0"/>
    <w:qFormat w:val="0"/>
    <w:pPr>
      <w:suppressAutoHyphens w:val="1"/>
      <w:spacing w:line="1" w:lineRule="atLeast"/>
      <w:ind w:leftChars="-1" w:rightChars="0" w:firstLineChars="-1"/>
      <w:textDirection w:val="btLr"/>
      <w:textAlignment w:val="top"/>
      <w:outlineLvl w:val="0"/>
    </w:pPr>
  </w:style>
  <w:style w:type="paragraph" w:styleId="Základnítextodsazený">
    <w:name w:val="Základní text odsazený"/>
    <w:basedOn w:val="Normální"/>
    <w:next w:val="Základnítextodsazený"/>
    <w:autoRedefine w:val="0"/>
    <w:hidden w:val="0"/>
    <w:qFormat w:val="0"/>
    <w:pPr>
      <w:suppressAutoHyphens w:val="1"/>
      <w:spacing w:line="1" w:lineRule="atLeast"/>
      <w:ind w:left="708" w:leftChars="-1" w:rightChars="0" w:firstLine="357" w:firstLineChars="-1"/>
      <w:jc w:val="both"/>
      <w:textDirection w:val="btLr"/>
      <w:textAlignment w:val="top"/>
      <w:outlineLvl w:val="0"/>
    </w:pPr>
    <w:rPr>
      <w:w w:val="100"/>
      <w:position w:val="-1"/>
      <w:sz w:val="24"/>
      <w:szCs w:val="20"/>
      <w:effect w:val="none"/>
      <w:vertAlign w:val="baseline"/>
      <w:cs w:val="0"/>
      <w:em w:val="none"/>
      <w:lang w:bidi="ar-SA" w:eastAsia="cs-CZ" w:val="cs-CZ"/>
    </w:rPr>
  </w:style>
  <w:style w:type="paragraph" w:styleId="Základnítextodsazený2">
    <w:name w:val="Základní text odsazený 2"/>
    <w:basedOn w:val="Normální"/>
    <w:next w:val="Základnítextodsazený2"/>
    <w:autoRedefine w:val="0"/>
    <w:hidden w:val="0"/>
    <w:qFormat w:val="0"/>
    <w:pPr>
      <w:suppressAutoHyphens w:val="1"/>
      <w:spacing w:line="1" w:lineRule="atLeast"/>
      <w:ind w:left="708" w:leftChars="-1" w:rightChars="0" w:firstLine="360" w:firstLineChars="-1"/>
      <w:jc w:val="both"/>
      <w:textDirection w:val="btLr"/>
      <w:textAlignment w:val="top"/>
      <w:outlineLvl w:val="0"/>
    </w:pPr>
    <w:rPr>
      <w:bCs w:val="1"/>
      <w:w w:val="100"/>
      <w:position w:val="-1"/>
      <w:sz w:val="24"/>
      <w:szCs w:val="20"/>
      <w:effect w:val="none"/>
      <w:vertAlign w:val="baseline"/>
      <w:cs w:val="0"/>
      <w:em w:val="none"/>
      <w:lang w:bidi="ar-SA" w:eastAsia="cs-CZ" w:val="cs-CZ"/>
    </w:rPr>
  </w:style>
  <w:style w:type="paragraph" w:styleId="Záhlaví">
    <w:name w:val="Záhlaví"/>
    <w:basedOn w:val="Normální"/>
    <w:next w:val="Záhlaví"/>
    <w:autoRedefine w:val="0"/>
    <w:hidden w:val="0"/>
    <w:qFormat w:val="0"/>
    <w:pPr>
      <w:tabs>
        <w:tab w:val="center" w:leader="none" w:pos="4536"/>
        <w:tab w:val="right" w:leader="none" w:pos="9072"/>
      </w:tabs>
      <w:suppressAutoHyphens w:val="1"/>
      <w:spacing w:line="1" w:lineRule="atLeast"/>
      <w:ind w:leftChars="-1" w:rightChars="0" w:firstLineChars="-1"/>
      <w:textDirection w:val="btLr"/>
      <w:textAlignment w:val="top"/>
      <w:outlineLvl w:val="0"/>
    </w:pPr>
    <w:rPr>
      <w:w w:val="100"/>
      <w:position w:val="-1"/>
      <w:sz w:val="24"/>
      <w:szCs w:val="20"/>
      <w:effect w:val="none"/>
      <w:vertAlign w:val="baseline"/>
      <w:cs w:val="0"/>
      <w:em w:val="none"/>
      <w:lang w:bidi="ar-SA" w:eastAsia="cs-CZ" w:val="cs-CZ"/>
    </w:rPr>
  </w:style>
  <w:style w:type="paragraph" w:styleId="Základnítext">
    <w:name w:val="Základní text"/>
    <w:basedOn w:val="Normální"/>
    <w:next w:val="Základnítext"/>
    <w:autoRedefine w:val="0"/>
    <w:hidden w:val="0"/>
    <w:qFormat w:val="0"/>
    <w:pPr>
      <w:suppressAutoHyphens w:val="1"/>
      <w:spacing w:after="120" w:line="1" w:lineRule="atLeast"/>
      <w:ind w:leftChars="-1" w:rightChars="0" w:firstLineChars="-1"/>
      <w:textDirection w:val="btLr"/>
      <w:textAlignment w:val="top"/>
      <w:outlineLvl w:val="0"/>
    </w:pPr>
    <w:rPr>
      <w:w w:val="100"/>
      <w:position w:val="-1"/>
      <w:sz w:val="24"/>
      <w:szCs w:val="20"/>
      <w:effect w:val="none"/>
      <w:vertAlign w:val="baseline"/>
      <w:cs w:val="0"/>
      <w:em w:val="none"/>
      <w:lang w:bidi="ar-SA" w:eastAsia="cs-CZ" w:val="cs-CZ"/>
    </w:rPr>
  </w:style>
  <w:style w:type="paragraph" w:styleId="Textpozn.podčarou">
    <w:name w:val="Text pozn. pod čarou"/>
    <w:basedOn w:val="Normální"/>
    <w:next w:val="Textpozn.podčarou"/>
    <w:autoRedefine w:val="0"/>
    <w:hidden w:val="0"/>
    <w:qFormat w:val="0"/>
    <w:pPr>
      <w:suppressAutoHyphens w:val="1"/>
      <w:spacing w:line="1" w:lineRule="atLeast"/>
      <w:ind w:leftChars="-1" w:rightChars="0" w:firstLineChars="-1"/>
      <w:textDirection w:val="btLr"/>
      <w:textAlignment w:val="top"/>
      <w:outlineLvl w:val="0"/>
    </w:pPr>
    <w:rPr>
      <w:noProof w:val="1"/>
      <w:w w:val="100"/>
      <w:position w:val="-1"/>
      <w:sz w:val="20"/>
      <w:szCs w:val="20"/>
      <w:effect w:val="none"/>
      <w:vertAlign w:val="baseline"/>
      <w:cs w:val="0"/>
      <w:em w:val="none"/>
      <w:lang w:bidi="ar-SA" w:eastAsia="und" w:val="und"/>
    </w:rPr>
  </w:style>
  <w:style w:type="character" w:styleId="Značkapozn.podčarou">
    <w:name w:val="Značka pozn. pod čarou"/>
    <w:next w:val="Značkapozn.podčarou"/>
    <w:autoRedefine w:val="0"/>
    <w:hidden w:val="0"/>
    <w:qFormat w:val="0"/>
    <w:rPr>
      <w:w w:val="100"/>
      <w:position w:val="-1"/>
      <w:effect w:val="none"/>
      <w:vertAlign w:val="superscript"/>
      <w:cs w:val="0"/>
      <w:em w:val="none"/>
      <w:lang/>
    </w:rPr>
  </w:style>
  <w:style w:type="paragraph" w:styleId="Normální_IMP">
    <w:name w:val="Normální_IMP"/>
    <w:basedOn w:val="Normální"/>
    <w:next w:val="Normální_IMP"/>
    <w:autoRedefine w:val="0"/>
    <w:hidden w:val="0"/>
    <w:qFormat w:val="0"/>
    <w:pPr>
      <w:suppressAutoHyphens w:val="0"/>
      <w:overflowPunct w:val="0"/>
      <w:autoSpaceDE w:val="0"/>
      <w:autoSpaceDN w:val="0"/>
      <w:adjustRightInd w:val="0"/>
      <w:spacing w:line="230" w:lineRule="auto"/>
      <w:ind w:leftChars="-1" w:rightChars="0" w:firstLineChars="-1"/>
      <w:jc w:val="both"/>
      <w:textDirection w:val="btLr"/>
      <w:textAlignment w:val="baseline"/>
      <w:outlineLvl w:val="0"/>
    </w:pPr>
    <w:rPr>
      <w:w w:val="100"/>
      <w:position w:val="-1"/>
      <w:sz w:val="24"/>
      <w:szCs w:val="20"/>
      <w:effect w:val="none"/>
      <w:vertAlign w:val="baseline"/>
      <w:cs w:val="0"/>
      <w:em w:val="none"/>
      <w:lang w:bidi="ar-SA" w:eastAsia="cs-CZ" w:val="cs-CZ"/>
    </w:rPr>
  </w:style>
  <w:style w:type="character" w:styleId="Odkaznakomentář">
    <w:name w:val="Odkaz na komentář"/>
    <w:next w:val="Odkaznakomentář"/>
    <w:autoRedefine w:val="0"/>
    <w:hidden w:val="0"/>
    <w:qFormat w:val="0"/>
    <w:rPr>
      <w:w w:val="100"/>
      <w:position w:val="-1"/>
      <w:sz w:val="16"/>
      <w:szCs w:val="16"/>
      <w:effect w:val="none"/>
      <w:vertAlign w:val="baseline"/>
      <w:cs w:val="0"/>
      <w:em w:val="none"/>
      <w:lang/>
    </w:rPr>
  </w:style>
  <w:style w:type="paragraph" w:styleId="Textkomentáře">
    <w:name w:val="Text komentáře"/>
    <w:basedOn w:val="Normální"/>
    <w:next w:val="Textkomentáře"/>
    <w:autoRedefine w:val="0"/>
    <w:hidden w:val="0"/>
    <w:qFormat w:val="0"/>
    <w:pPr>
      <w:suppressAutoHyphens w:val="1"/>
      <w:spacing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cs-CZ" w:val="cs-CZ"/>
    </w:rPr>
  </w:style>
  <w:style w:type="paragraph" w:styleId="Základnítextodsazený3">
    <w:name w:val="Základní text odsazený 3"/>
    <w:basedOn w:val="Normální"/>
    <w:next w:val="Základnítextodsazený3"/>
    <w:autoRedefine w:val="0"/>
    <w:hidden w:val="0"/>
    <w:qFormat w:val="0"/>
    <w:pPr>
      <w:widowControl w:val="0"/>
      <w:tabs>
        <w:tab w:val="num" w:leader="none" w:pos="540"/>
      </w:tabs>
      <w:suppressAutoHyphens w:val="1"/>
      <w:spacing w:line="1" w:lineRule="atLeast"/>
      <w:ind w:left="540" w:leftChars="-1" w:rightChars="0" w:hanging="540" w:firstLineChars="-1"/>
      <w:jc w:val="both"/>
      <w:textDirection w:val="btLr"/>
      <w:textAlignment w:val="top"/>
      <w:outlineLvl w:val="0"/>
    </w:pPr>
    <w:rPr>
      <w:bCs w:val="1"/>
      <w:w w:val="100"/>
      <w:position w:val="-1"/>
      <w:sz w:val="24"/>
      <w:szCs w:val="24"/>
      <w:effect w:val="none"/>
      <w:vertAlign w:val="baseline"/>
      <w:cs w:val="0"/>
      <w:em w:val="none"/>
      <w:lang w:bidi="ar-SA" w:eastAsia="cs-CZ" w:val="cs-CZ"/>
    </w:rPr>
  </w:style>
  <w:style w:type="paragraph" w:styleId="Textbubliny">
    <w:name w:val="Text bubliny"/>
    <w:basedOn w:val="Normální"/>
    <w:next w:val="Textbubliny"/>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cs-CZ" w:val="cs-CZ"/>
    </w:rPr>
  </w:style>
  <w:style w:type="paragraph" w:styleId="Odstavecseseznamem">
    <w:name w:val="Odstavec se seznamem"/>
    <w:basedOn w:val="Normální"/>
    <w:next w:val="Odstavecseseznamem"/>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rFonts w:ascii="Calibri" w:eastAsia="Calibri" w:hAnsi="Calibri"/>
      <w:w w:val="100"/>
      <w:position w:val="-1"/>
      <w:sz w:val="22"/>
      <w:szCs w:val="22"/>
      <w:effect w:val="none"/>
      <w:vertAlign w:val="baseline"/>
      <w:cs w:val="0"/>
      <w:em w:val="none"/>
      <w:lang w:bidi="ar-SA" w:eastAsia="en-US" w:val="cs-CZ"/>
    </w:rPr>
  </w:style>
  <w:style w:type="paragraph" w:styleId="Předmětkomentáře">
    <w:name w:val="Předmět komentáře"/>
    <w:basedOn w:val="Textkomentáře"/>
    <w:next w:val="Textkomentáře"/>
    <w:autoRedefine w:val="0"/>
    <w:hidden w:val="0"/>
    <w:qFormat w:val="1"/>
    <w:pPr>
      <w:suppressAutoHyphens w:val="1"/>
      <w:spacing w:line="1" w:lineRule="atLeast"/>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und" w:val="und"/>
    </w:rPr>
  </w:style>
  <w:style w:type="character" w:styleId="TextkomentářeChar">
    <w:name w:val="Text komentáře Char"/>
    <w:basedOn w:val="Standardnípísmoodstavce"/>
    <w:next w:val="TextkomentářeChar"/>
    <w:autoRedefine w:val="0"/>
    <w:hidden w:val="0"/>
    <w:qFormat w:val="0"/>
    <w:rPr>
      <w:w w:val="100"/>
      <w:position w:val="-1"/>
      <w:effect w:val="none"/>
      <w:vertAlign w:val="baseline"/>
      <w:cs w:val="0"/>
      <w:em w:val="none"/>
      <w:lang/>
    </w:rPr>
  </w:style>
  <w:style w:type="character" w:styleId="PředmětkomentářeChar">
    <w:name w:val="Předmět komentáře Char"/>
    <w:next w:val="PředmětkomentářeChar"/>
    <w:autoRedefine w:val="0"/>
    <w:hidden w:val="0"/>
    <w:qFormat w:val="0"/>
    <w:rPr>
      <w:b w:val="1"/>
      <w:bCs w:val="1"/>
      <w:w w:val="100"/>
      <w:position w:val="-1"/>
      <w:effect w:val="none"/>
      <w:vertAlign w:val="baseline"/>
      <w:cs w:val="0"/>
      <w:em w:val="none"/>
      <w:lang/>
    </w:rPr>
  </w:style>
  <w:style w:type="paragraph" w:styleId="Zápatí">
    <w:name w:val="Zápatí"/>
    <w:basedOn w:val="Normální"/>
    <w:next w:val="Zápatí"/>
    <w:autoRedefine w:val="0"/>
    <w:hidden w:val="0"/>
    <w:qFormat w:val="1"/>
    <w:pPr>
      <w:tabs>
        <w:tab w:val="center" w:leader="none" w:pos="4536"/>
        <w:tab w:val="right" w:leader="none" w:pos="9072"/>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und" w:val="und"/>
    </w:rPr>
  </w:style>
  <w:style w:type="character" w:styleId="ZápatíChar">
    <w:name w:val="Zápatí Char"/>
    <w:next w:val="ZápatíChar"/>
    <w:autoRedefine w:val="0"/>
    <w:hidden w:val="0"/>
    <w:qFormat w:val="0"/>
    <w:rPr>
      <w:w w:val="100"/>
      <w:position w:val="-1"/>
      <w:sz w:val="24"/>
      <w:szCs w:val="24"/>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Sy3ZBbB/jDBlxSLAlsvgPxOFqw==">AMUW2mWUix/81pVEHKq7svxWMB9lQoVsp09z9ngjngresCq5l5vEW2ZTqSbBuxbQzLeBiZaayTGLMOJ+mPVGc3Rvm9Ty4qktxqAyenPnt3ZSLjrpwhkgNSk=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2019-06-26T06:20:00Z</dcterms:created>
  <dc:creator>DA210036</dc:creator>
</cp:coreProperties>
</file>

<file path=docProps/custom.xml><?xml version="1.0" encoding="utf-8"?>
<Properties xmlns="http://schemas.openxmlformats.org/officeDocument/2006/custom-properties" xmlns:vt="http://schemas.openxmlformats.org/officeDocument/2006/docPropsVTypes"/>
</file>