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15A1" w14:textId="6AA3296A" w:rsidR="005267C1" w:rsidRDefault="00455A85">
      <w:pPr>
        <w:pStyle w:val="Nadpis1"/>
      </w:pPr>
      <w:r>
        <w:rPr>
          <w:noProof/>
        </w:rPr>
        <w:drawing>
          <wp:anchor distT="0" distB="0" distL="114300" distR="114300" simplePos="0" relativeHeight="251657728" behindDoc="0" locked="0" layoutInCell="0" allowOverlap="1" wp14:anchorId="54ED5B25" wp14:editId="4B5A84BD">
            <wp:simplePos x="0" y="0"/>
            <wp:positionH relativeFrom="column">
              <wp:posOffset>0</wp:posOffset>
            </wp:positionH>
            <wp:positionV relativeFrom="paragraph">
              <wp:posOffset>0</wp:posOffset>
            </wp:positionV>
            <wp:extent cx="2026285" cy="621030"/>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628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267C1">
        <w:t>Vyhláška č. 6 /1998</w:t>
      </w:r>
      <w:r w:rsidR="005267C1">
        <w:br/>
        <w:t xml:space="preserve">o Městské policii Lázně Bohdaneč </w:t>
      </w:r>
    </w:p>
    <w:p w14:paraId="24E0A179" w14:textId="77777777" w:rsidR="005267C1" w:rsidRDefault="005267C1">
      <w:pPr>
        <w:jc w:val="both"/>
      </w:pPr>
      <w:r>
        <w:t>Zastupitelstvo města Lázně Bohdaneč na základě § 14 zákona ČNR č. 367/90Sb. o obcích ve smyslu zákona ČNR č. 553/91 Sb. o obecní policii se dne 1. září 1998 usneslo na této obecně závazné vyhlášce.</w:t>
      </w:r>
    </w:p>
    <w:p w14:paraId="589F6C95" w14:textId="77777777" w:rsidR="005267C1" w:rsidRDefault="005267C1">
      <w:pPr>
        <w:pStyle w:val="Nadpis2"/>
      </w:pPr>
      <w:r>
        <w:t>Článek I.</w:t>
      </w:r>
      <w:r>
        <w:br/>
        <w:t>Úvodní ustanovení</w:t>
      </w:r>
    </w:p>
    <w:p w14:paraId="771570DC" w14:textId="77777777" w:rsidR="005267C1" w:rsidRDefault="005267C1">
      <w:pPr>
        <w:jc w:val="both"/>
      </w:pPr>
      <w:r>
        <w:t>1) zastupitelstvo města zřizuje podle § 1 zákona ČNR č. 553/91 Sb. o obecní policii, dále jen „zákon“, Městskou policii Lázně Bohdaneč,</w:t>
      </w:r>
    </w:p>
    <w:p w14:paraId="0C9794DF" w14:textId="77777777" w:rsidR="005267C1" w:rsidRDefault="005267C1">
      <w:pPr>
        <w:jc w:val="both"/>
      </w:pPr>
      <w:r>
        <w:t>2) městská policie je samostatným orgánem města zabezpečujícím místní záležitosti veřejného pořádku,</w:t>
      </w:r>
    </w:p>
    <w:p w14:paraId="2E36E6AF" w14:textId="77777777" w:rsidR="005267C1" w:rsidRDefault="005267C1">
      <w:pPr>
        <w:jc w:val="both"/>
      </w:pPr>
      <w:r>
        <w:t>3) při plnění svých úkolů spolupracuje městská policie s Policií ČR na základě součinnostní dohody, dále s orgány obce a se záchrannými sbory a organizacemi zasahujícími v katastru města Lázně Bohdaneč,</w:t>
      </w:r>
    </w:p>
    <w:p w14:paraId="0B3C9FD8" w14:textId="77777777" w:rsidR="005267C1" w:rsidRDefault="005267C1">
      <w:pPr>
        <w:jc w:val="both"/>
      </w:pPr>
      <w:r>
        <w:t>4) každý má právo obracet se na strážníky městské policie se žádostí o pomoc, strážníci jsou povinni v rozsahu svých úkolů požadovanou pomoc poskytnout.</w:t>
      </w:r>
    </w:p>
    <w:p w14:paraId="2FCCD3E6" w14:textId="77777777" w:rsidR="005267C1" w:rsidRDefault="005267C1">
      <w:pPr>
        <w:pStyle w:val="Nadpis2"/>
      </w:pPr>
      <w:r>
        <w:t>Článek II.</w:t>
      </w:r>
      <w:r>
        <w:br/>
        <w:t>Úkoly městské policie</w:t>
      </w:r>
    </w:p>
    <w:p w14:paraId="5FE9DB65" w14:textId="77777777" w:rsidR="005267C1" w:rsidRDefault="005267C1">
      <w:r>
        <w:t>1) úkoly a působnost městské policie stanovuje zákon v § 2, mezi úkoly patří zejména:</w:t>
      </w:r>
    </w:p>
    <w:p w14:paraId="29929E6A" w14:textId="77777777" w:rsidR="005267C1" w:rsidRDefault="005267C1">
      <w:r>
        <w:t>- dohled nad dodržováním obecně závazných předpisů o ochraně veřejného pořádku</w:t>
      </w:r>
    </w:p>
    <w:p w14:paraId="78D4117C" w14:textId="77777777" w:rsidR="005267C1" w:rsidRDefault="005267C1">
      <w:r>
        <w:t>- přispívat k ochraně bezpečnosti osob a majetku</w:t>
      </w:r>
    </w:p>
    <w:p w14:paraId="7AAFBF19" w14:textId="77777777" w:rsidR="005267C1" w:rsidRDefault="005267C1">
      <w:r>
        <w:t>- dohled nad dodržováním pravidel občanského soužití</w:t>
      </w:r>
    </w:p>
    <w:p w14:paraId="4343286E" w14:textId="77777777" w:rsidR="005267C1" w:rsidRDefault="005267C1">
      <w:r>
        <w:t>- odhalovat přestupky a v rozsahu stanoveném zákonem též ukládat a vybírat v blokovém  řízení pokuty za přestupky</w:t>
      </w:r>
    </w:p>
    <w:p w14:paraId="0272D1AA" w14:textId="77777777" w:rsidR="005267C1" w:rsidRDefault="005267C1">
      <w:r>
        <w:t>- upozorňovat právnické a fyzické osoby na zjištěné nedostatky a podle konkrétní situace činit opatření k jejich odstranění</w:t>
      </w:r>
    </w:p>
    <w:p w14:paraId="09E22819" w14:textId="77777777" w:rsidR="005267C1" w:rsidRDefault="005267C1">
      <w:r>
        <w:t>- ukládat a vybírat v blokovém řízení pokuty za přestupky proti bezpečnosti a plynulosti silničního provozu v rozsahu stanoveném zákonem,</w:t>
      </w:r>
    </w:p>
    <w:p w14:paraId="4429098C" w14:textId="77777777" w:rsidR="005267C1" w:rsidRDefault="005267C1">
      <w:r>
        <w:t>2) starosta, rada města mohou pověřit městskou policii plněním dalších úkolů pro zajištění činnosti orgánů obce,</w:t>
      </w:r>
    </w:p>
    <w:p w14:paraId="75600EBF" w14:textId="77777777" w:rsidR="005267C1" w:rsidRDefault="005267C1">
      <w:pPr>
        <w:jc w:val="both"/>
      </w:pPr>
      <w:r>
        <w:t>3) ukládání a vybírání blokových pokut upravuje zákon č. 200/90 Sb.</w:t>
      </w:r>
    </w:p>
    <w:p w14:paraId="0122B093" w14:textId="77777777" w:rsidR="005267C1" w:rsidRDefault="005267C1">
      <w:pPr>
        <w:jc w:val="both"/>
      </w:pPr>
      <w:r>
        <w:t>4) město pověřuje strážníky, jakožto zaměstnance obce, zajišťováním převozů osob na protialkoholní záchytnou stanici ve smyslu § 8 odst.5 zákona ČNR č.37/89 Sb. o ochraně před alkoholismem a jinými toxikomaniemi.</w:t>
      </w:r>
    </w:p>
    <w:p w14:paraId="2ADC9C32" w14:textId="77777777" w:rsidR="005267C1" w:rsidRDefault="005267C1">
      <w:pPr>
        <w:pStyle w:val="Nadpis2"/>
      </w:pPr>
      <w:r>
        <w:t>Článek III.</w:t>
      </w:r>
      <w:r>
        <w:br/>
        <w:t>Organizační členění městské policie</w:t>
      </w:r>
    </w:p>
    <w:p w14:paraId="6C60E4C2" w14:textId="77777777" w:rsidR="005267C1" w:rsidRDefault="005267C1">
      <w:pPr>
        <w:numPr>
          <w:ilvl w:val="0"/>
          <w:numId w:val="2"/>
        </w:numPr>
        <w:jc w:val="both"/>
      </w:pPr>
      <w:r>
        <w:t>městskou policii řídí starosta,</w:t>
      </w:r>
    </w:p>
    <w:p w14:paraId="5C34CD77" w14:textId="77777777" w:rsidR="005267C1" w:rsidRDefault="005267C1">
      <w:pPr>
        <w:numPr>
          <w:ilvl w:val="0"/>
          <w:numId w:val="2"/>
        </w:numPr>
        <w:jc w:val="both"/>
      </w:pPr>
      <w:r>
        <w:t>městská rada může pověřit plněním některých úkolů při řízení městské policie určeného strážníka,</w:t>
      </w:r>
    </w:p>
    <w:p w14:paraId="70BB2E83" w14:textId="77777777" w:rsidR="005267C1" w:rsidRDefault="005267C1">
      <w:pPr>
        <w:numPr>
          <w:ilvl w:val="0"/>
          <w:numId w:val="2"/>
        </w:numPr>
        <w:jc w:val="both"/>
      </w:pPr>
      <w:r>
        <w:t>funkci řídícího a kontrolního orgánu městské policie plní rada města, které strážník pověřený řízením městské policie předkládá zprávu o činnosti městské policie nejméně dvakrát ročně,</w:t>
      </w:r>
    </w:p>
    <w:p w14:paraId="57F44116" w14:textId="77777777" w:rsidR="005267C1" w:rsidRDefault="005267C1">
      <w:pPr>
        <w:numPr>
          <w:ilvl w:val="0"/>
          <w:numId w:val="2"/>
        </w:numPr>
        <w:jc w:val="both"/>
      </w:pPr>
      <w:r>
        <w:t>stížnosti na činnost a vystupování strážníků prošetřuje a řeší starosta nebo jím pověřená osoba,</w:t>
      </w:r>
    </w:p>
    <w:p w14:paraId="5071DF9A" w14:textId="77777777" w:rsidR="005267C1" w:rsidRDefault="005267C1">
      <w:pPr>
        <w:numPr>
          <w:ilvl w:val="0"/>
          <w:numId w:val="2"/>
        </w:numPr>
        <w:jc w:val="both"/>
      </w:pPr>
      <w:r>
        <w:lastRenderedPageBreak/>
        <w:t>bezpečnostní komise města má postavení poradního orgánu, spolupracuje se strážníkem pověřeným řízením městské policie při řešení úkolů k zajištění veřejného pořádku a bezpečnosti města,</w:t>
      </w:r>
    </w:p>
    <w:p w14:paraId="3B9C0564" w14:textId="77777777" w:rsidR="005267C1" w:rsidRDefault="005267C1">
      <w:pPr>
        <w:numPr>
          <w:ilvl w:val="0"/>
          <w:numId w:val="2"/>
        </w:numPr>
        <w:jc w:val="both"/>
      </w:pPr>
      <w:r>
        <w:t xml:space="preserve">organizačně jsou strážníci členěni do těchto základních funkcí: </w:t>
      </w:r>
    </w:p>
    <w:p w14:paraId="6B879D20" w14:textId="77777777" w:rsidR="005267C1" w:rsidRDefault="005267C1">
      <w:pPr>
        <w:jc w:val="both"/>
      </w:pPr>
      <w:r>
        <w:t>- strážník kadet</w:t>
      </w:r>
    </w:p>
    <w:p w14:paraId="4CA3BF9F" w14:textId="77777777" w:rsidR="005267C1" w:rsidRDefault="005267C1">
      <w:pPr>
        <w:jc w:val="both"/>
      </w:pPr>
      <w:r>
        <w:t xml:space="preserve">- strážník </w:t>
      </w:r>
    </w:p>
    <w:p w14:paraId="40FB1F49" w14:textId="77777777" w:rsidR="005267C1" w:rsidRDefault="005267C1">
      <w:pPr>
        <w:jc w:val="both"/>
      </w:pPr>
      <w:r>
        <w:t>- starší strážník</w:t>
      </w:r>
    </w:p>
    <w:p w14:paraId="7CEC1C44" w14:textId="77777777" w:rsidR="005267C1" w:rsidRDefault="005267C1">
      <w:pPr>
        <w:jc w:val="both"/>
      </w:pPr>
      <w:r>
        <w:t>-vrchní strážník</w:t>
      </w:r>
    </w:p>
    <w:p w14:paraId="09055A5D" w14:textId="77777777" w:rsidR="005267C1" w:rsidRDefault="005267C1">
      <w:pPr>
        <w:jc w:val="both"/>
      </w:pPr>
      <w:r>
        <w:t xml:space="preserve">podmínky zařazení do základních funkcí a jejich označení upravuje směrnice městské </w:t>
      </w:r>
    </w:p>
    <w:p w14:paraId="2D68466D" w14:textId="77777777" w:rsidR="005267C1" w:rsidRDefault="005267C1">
      <w:pPr>
        <w:jc w:val="both"/>
      </w:pPr>
      <w:r>
        <w:t>policie.</w:t>
      </w:r>
    </w:p>
    <w:p w14:paraId="1462969F" w14:textId="77777777" w:rsidR="005267C1" w:rsidRDefault="005267C1">
      <w:pPr>
        <w:pStyle w:val="Nadpis2"/>
      </w:pPr>
      <w:r>
        <w:t>Článek IV.</w:t>
      </w:r>
      <w:r>
        <w:br/>
        <w:t>Povinnosti a oprávnění strážníků</w:t>
      </w:r>
    </w:p>
    <w:p w14:paraId="25390F21" w14:textId="77777777" w:rsidR="005267C1" w:rsidRDefault="005267C1">
      <w:pPr>
        <w:jc w:val="both"/>
      </w:pPr>
      <w:r>
        <w:t>1) povinnosti strážníků jsou stanoveny zákonem</w:t>
      </w:r>
    </w:p>
    <w:p w14:paraId="190635C4" w14:textId="77777777" w:rsidR="005267C1" w:rsidRDefault="005267C1">
      <w:pPr>
        <w:jc w:val="both"/>
      </w:pPr>
      <w:r>
        <w:t>2) oprávnění strážníků jsou stanoveny zákonem</w:t>
      </w:r>
    </w:p>
    <w:p w14:paraId="1E494C57" w14:textId="77777777" w:rsidR="005267C1" w:rsidRDefault="005267C1">
      <w:r>
        <w:t>3) strážník je oprávněn použít donucovacích prostředků, psa a sl. zbraně. Při jejich použití je strážník povinen dodržet ustanovení zákona.</w:t>
      </w:r>
    </w:p>
    <w:p w14:paraId="7D02588E" w14:textId="77777777" w:rsidR="005267C1" w:rsidRDefault="005267C1">
      <w:pPr>
        <w:pStyle w:val="Nadpis2"/>
      </w:pPr>
      <w:r>
        <w:t>Článek V.</w:t>
      </w:r>
      <w:r>
        <w:br/>
        <w:t>Prokazování příslušnosti k městské policii</w:t>
      </w:r>
    </w:p>
    <w:p w14:paraId="5E0C2D34" w14:textId="77777777" w:rsidR="005267C1" w:rsidRDefault="005267C1">
      <w:r>
        <w:t>1) při výkonu své pravomoci je strážník povinen prokázat svoji příslušnost k městské policii stejnokrojem s odznakem městské policie, který je stanoven v příloze zákona, s identifikačním štítkem s číslem (jmenovkou) a nášivkou s názvem obce. Odznak městské policie nosí strážník na stejnokroji na pravé straně prsou, identifikační štítek pod odznakem. Nášivka s názvem obce se nosí na záloktí rukávu,</w:t>
      </w:r>
    </w:p>
    <w:p w14:paraId="142F1A35" w14:textId="77777777" w:rsidR="005267C1" w:rsidRDefault="005267C1">
      <w:r>
        <w:t>2) pokud se strážník při provádění zákroku nebo opatření mimo pracovní dobu neprokazuje podle ustanovení odst. 1, prokáže svoji příslušnost k městské policii průkazem městské policie. Pokud to okolnosti zákroku neumožňují, prokáže se strážník pouze ústním prohlášením „městská policie“, průkazem nebo stejnokrojem se strážník prokáže ihned jak to okolnosti zákroku dovolí,</w:t>
      </w:r>
    </w:p>
    <w:p w14:paraId="6E0D0F76" w14:textId="77777777" w:rsidR="005267C1" w:rsidRDefault="005267C1">
      <w:r>
        <w:t xml:space="preserve">3) stejnokroj musí obsahovat jednotné prvky stanovené vyhláškou Ministerstva vnitra ČR. </w:t>
      </w:r>
      <w:r>
        <w:br/>
        <w:t xml:space="preserve">Jednotné prvky: </w:t>
      </w:r>
    </w:p>
    <w:p w14:paraId="06170227" w14:textId="77777777" w:rsidR="005267C1" w:rsidRDefault="005267C1">
      <w:pPr>
        <w:jc w:val="both"/>
      </w:pPr>
      <w:r>
        <w:t>blůza černé barvy</w:t>
      </w:r>
    </w:p>
    <w:p w14:paraId="3BBA5561" w14:textId="77777777" w:rsidR="005267C1" w:rsidRDefault="005267C1">
      <w:pPr>
        <w:jc w:val="both"/>
      </w:pPr>
      <w:r>
        <w:t>košile bleděmodré barvy</w:t>
      </w:r>
    </w:p>
    <w:p w14:paraId="766A4174" w14:textId="77777777" w:rsidR="005267C1" w:rsidRDefault="005267C1">
      <w:pPr>
        <w:jc w:val="both"/>
      </w:pPr>
      <w:r>
        <w:t>nárameník v barvě oděvu bez jakéhokoliv značení</w:t>
      </w:r>
    </w:p>
    <w:p w14:paraId="655DE976" w14:textId="77777777" w:rsidR="005267C1" w:rsidRDefault="005267C1">
      <w:pPr>
        <w:jc w:val="both"/>
      </w:pPr>
      <w:r>
        <w:t>vázanka černé barvy</w:t>
      </w:r>
    </w:p>
    <w:p w14:paraId="5ED24A7A" w14:textId="77777777" w:rsidR="005267C1" w:rsidRDefault="005267C1">
      <w:pPr>
        <w:jc w:val="both"/>
      </w:pPr>
      <w:r>
        <w:t>pokrývka hlavy černé barvy</w:t>
      </w:r>
    </w:p>
    <w:p w14:paraId="448018C4" w14:textId="77777777" w:rsidR="005267C1" w:rsidRDefault="005267C1">
      <w:pPr>
        <w:jc w:val="both"/>
      </w:pPr>
      <w:r>
        <w:t>bělomodrá šachovnice po celém obvodu pokrývky hlavy</w:t>
      </w:r>
    </w:p>
    <w:p w14:paraId="0142E702" w14:textId="77777777" w:rsidR="005267C1" w:rsidRDefault="005267C1">
      <w:pPr>
        <w:jc w:val="both"/>
      </w:pPr>
      <w:r>
        <w:t>odznak městské policie stanovený v příloze zákona</w:t>
      </w:r>
    </w:p>
    <w:p w14:paraId="7EA4D5FE" w14:textId="77777777" w:rsidR="005267C1" w:rsidRDefault="005267C1">
      <w:pPr>
        <w:jc w:val="both"/>
      </w:pPr>
      <w:r>
        <w:t>odznak na pokrývce hlavy stanovený vyhl. MV ČR</w:t>
      </w:r>
    </w:p>
    <w:p w14:paraId="14B2802A" w14:textId="77777777" w:rsidR="005267C1" w:rsidRDefault="005267C1">
      <w:pPr>
        <w:jc w:val="both"/>
      </w:pPr>
      <w:r>
        <w:t>Podmínky nošení stejnokroje upravuje směrnice městské policie, stejnokroj je doplňován ochrannými pomůckami (přilba, reflexní prvky,atd.), ve výjimečných případech tvoří stejnokroj pouze převlečníková blůza černé barvy opatřená odznakem městské policie,identifikačním štítkem, nášivkou s názvem obce a nápisem „městská policie“. Jedná se především o případy, kdy strážník zakročuje náhle mimo pracovní dobu, apod.,</w:t>
      </w:r>
    </w:p>
    <w:p w14:paraId="1EEB9943" w14:textId="77777777" w:rsidR="005267C1" w:rsidRDefault="005267C1">
      <w:pPr>
        <w:jc w:val="both"/>
      </w:pPr>
      <w:r>
        <w:t>4) Služební motorová vozidla musí obsahovat jednotné prvky stanovené vyhl. MV ČR.</w:t>
      </w:r>
    </w:p>
    <w:p w14:paraId="4F635630" w14:textId="77777777" w:rsidR="005267C1" w:rsidRDefault="005267C1">
      <w:pPr>
        <w:jc w:val="both"/>
      </w:pPr>
      <w:r>
        <w:lastRenderedPageBreak/>
        <w:t xml:space="preserve">Jednotné prvky: </w:t>
      </w:r>
    </w:p>
    <w:p w14:paraId="30EE47C7" w14:textId="77777777" w:rsidR="005267C1" w:rsidRDefault="005267C1">
      <w:pPr>
        <w:jc w:val="both"/>
      </w:pPr>
      <w:r>
        <w:t>vozidlo je bílé barvy, na bocích (bočních dveřích) jsou vozidla označena nápisy „MĚSTSKÁ POLICIE“ – písmo je tmavomodré barvy, minimální výška písma je 10 cm.</w:t>
      </w:r>
    </w:p>
    <w:p w14:paraId="40447D0D" w14:textId="77777777" w:rsidR="005267C1" w:rsidRDefault="005267C1">
      <w:pPr>
        <w:jc w:val="both"/>
      </w:pPr>
      <w:r>
        <w:t>Pod nápisy „městská policie“ na bocích vozidla je název obce, písmo je tmavomodré barvy, minimální výška písma je 2 cm, na zadní části jsou vozidla označena tmavomodrým nápisem „městská policie“.</w:t>
      </w:r>
    </w:p>
    <w:p w14:paraId="1E7E3ACF" w14:textId="77777777" w:rsidR="005267C1" w:rsidRDefault="005267C1">
      <w:pPr>
        <w:jc w:val="both"/>
      </w:pPr>
      <w:r>
        <w:t>Kamufláž vozidla může obsahovat další prvky jako jsou informace o telefonním či radiovém spojení, reflexní prvky kamufláže, atd.</w:t>
      </w:r>
    </w:p>
    <w:p w14:paraId="6BA2DDEE" w14:textId="77777777" w:rsidR="005267C1" w:rsidRDefault="005267C1">
      <w:pPr>
        <w:jc w:val="both"/>
      </w:pPr>
      <w:r>
        <w:t>Vozidla jsou vybavena zvl. výstražným zařízením se světlem modré barvy a další výbavou potřebnou pro plnění úkolů městské policie.</w:t>
      </w:r>
    </w:p>
    <w:p w14:paraId="6228DF48" w14:textId="77777777" w:rsidR="005267C1" w:rsidRDefault="005267C1">
      <w:pPr>
        <w:jc w:val="both"/>
      </w:pPr>
      <w:r>
        <w:t>Ve výjimečných případech lze použít při plnění úkolů městské policie i jiné vozidlo (i jiné barvy),při výkonu pravomoci musí být však vozidlo označeno na bocích bílými obdélníky s tmavomodrými nápisy „MĚSTSKÁ POLICIE“,</w:t>
      </w:r>
    </w:p>
    <w:p w14:paraId="550AB5AE" w14:textId="77777777" w:rsidR="005267C1" w:rsidRDefault="005267C1">
      <w:r>
        <w:t>5) přestupku proti veřejnému pořádku se dopustí ten, kdo úmyslně na místě veřejnosti přístupném neoprávněně užívá na vozidle označení používané na služebních vozidlech městské policie nebo užívá barevného provedení či označení s ním zřejmě zaměnitelného. Přestupku proti veřejnému pořádku se rovněž dopustí ten, kdo úmyslně na místě veřejnosti přístupném neoprávněně užívá stejnokroje městské policie nebo jeho části nebo jeho části s úplným stejnokrojem zřejmě zaměnitelnými.</w:t>
      </w:r>
    </w:p>
    <w:p w14:paraId="16E8BCF7" w14:textId="77777777" w:rsidR="005267C1" w:rsidRDefault="005267C1">
      <w:pPr>
        <w:pStyle w:val="Nadpis2"/>
      </w:pPr>
      <w:r>
        <w:t>Článek VI.</w:t>
      </w:r>
      <w:r>
        <w:br/>
        <w:t>Závěrečná a společná ustanovení</w:t>
      </w:r>
    </w:p>
    <w:p w14:paraId="79A600A8" w14:textId="77777777" w:rsidR="005267C1" w:rsidRDefault="005267C1">
      <w:pPr>
        <w:jc w:val="both"/>
      </w:pPr>
      <w:r>
        <w:t>1) školení a výcvik strážníků k výkonu oprávnění a používání donucovacích prostředků, psů a služebních zbraní zajišťuje město,</w:t>
      </w:r>
    </w:p>
    <w:p w14:paraId="70741E52" w14:textId="77777777" w:rsidR="005267C1" w:rsidRDefault="005267C1">
      <w:pPr>
        <w:jc w:val="both"/>
      </w:pPr>
      <w:r>
        <w:t>2) náhrada škody způsobená v souvislosti s plněním úkolů městské policie je upravena zákonem</w:t>
      </w:r>
    </w:p>
    <w:p w14:paraId="31BC2235" w14:textId="77777777" w:rsidR="005267C1" w:rsidRDefault="005267C1">
      <w:pPr>
        <w:jc w:val="both"/>
      </w:pPr>
      <w:r>
        <w:t>3) povinnost mlčenlivosti je stanovena a upravena zákonem.</w:t>
      </w:r>
    </w:p>
    <w:p w14:paraId="19790CD2" w14:textId="77777777" w:rsidR="005267C1" w:rsidRDefault="005267C1">
      <w:pPr>
        <w:pStyle w:val="Nadpis2"/>
      </w:pPr>
      <w:r>
        <w:t>Článek VII.</w:t>
      </w:r>
      <w:r>
        <w:br/>
        <w:t>Účinnost vyhlášky</w:t>
      </w:r>
    </w:p>
    <w:p w14:paraId="53ED854B" w14:textId="77777777" w:rsidR="005267C1" w:rsidRDefault="005267C1">
      <w:pPr>
        <w:jc w:val="both"/>
      </w:pPr>
      <w:r>
        <w:t>Tato vyhláška nabývá účinnosti 1.1. 1999.</w:t>
      </w:r>
    </w:p>
    <w:p w14:paraId="5A1F6024" w14:textId="77777777" w:rsidR="005267C1" w:rsidRDefault="005267C1">
      <w:pPr>
        <w:jc w:val="both"/>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5267C1" w14:paraId="16A43E8A" w14:textId="77777777">
        <w:tblPrEx>
          <w:tblCellMar>
            <w:top w:w="0" w:type="dxa"/>
            <w:bottom w:w="0" w:type="dxa"/>
          </w:tblCellMar>
        </w:tblPrEx>
        <w:trPr>
          <w:jc w:val="center"/>
        </w:trPr>
        <w:tc>
          <w:tcPr>
            <w:tcW w:w="4606" w:type="dxa"/>
          </w:tcPr>
          <w:p w14:paraId="00B83360" w14:textId="77777777" w:rsidR="005267C1" w:rsidRDefault="005267C1">
            <w:pPr>
              <w:jc w:val="center"/>
            </w:pPr>
            <w:r>
              <w:t>Ing. Květoslava Jeníčková</w:t>
            </w:r>
          </w:p>
        </w:tc>
        <w:tc>
          <w:tcPr>
            <w:tcW w:w="4606" w:type="dxa"/>
          </w:tcPr>
          <w:p w14:paraId="3597ABBD" w14:textId="77777777" w:rsidR="005267C1" w:rsidRDefault="005267C1">
            <w:pPr>
              <w:jc w:val="center"/>
            </w:pPr>
            <w:r>
              <w:t>Ing. Olga Došelová</w:t>
            </w:r>
          </w:p>
        </w:tc>
      </w:tr>
      <w:tr w:rsidR="005267C1" w14:paraId="0A61CB4C" w14:textId="77777777">
        <w:tblPrEx>
          <w:tblCellMar>
            <w:top w:w="0" w:type="dxa"/>
            <w:bottom w:w="0" w:type="dxa"/>
          </w:tblCellMar>
        </w:tblPrEx>
        <w:trPr>
          <w:jc w:val="center"/>
        </w:trPr>
        <w:tc>
          <w:tcPr>
            <w:tcW w:w="4606" w:type="dxa"/>
          </w:tcPr>
          <w:p w14:paraId="36000103" w14:textId="77777777" w:rsidR="005267C1" w:rsidRDefault="005267C1">
            <w:pPr>
              <w:jc w:val="center"/>
            </w:pPr>
            <w:r>
              <w:t>starostka</w:t>
            </w:r>
          </w:p>
        </w:tc>
        <w:tc>
          <w:tcPr>
            <w:tcW w:w="4606" w:type="dxa"/>
          </w:tcPr>
          <w:p w14:paraId="39339181" w14:textId="77777777" w:rsidR="005267C1" w:rsidRDefault="005267C1">
            <w:pPr>
              <w:jc w:val="center"/>
            </w:pPr>
            <w:r>
              <w:t>zástupkyně starostky</w:t>
            </w:r>
          </w:p>
        </w:tc>
      </w:tr>
    </w:tbl>
    <w:p w14:paraId="64C0D662" w14:textId="77777777" w:rsidR="005267C1" w:rsidRDefault="005267C1"/>
    <w:sectPr w:rsidR="005267C1">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72E"/>
    <w:multiLevelType w:val="singleLevel"/>
    <w:tmpl w:val="04050011"/>
    <w:lvl w:ilvl="0">
      <w:start w:val="1"/>
      <w:numFmt w:val="decimal"/>
      <w:lvlText w:val="%1)"/>
      <w:lvlJc w:val="left"/>
      <w:pPr>
        <w:tabs>
          <w:tab w:val="num" w:pos="360"/>
        </w:tabs>
        <w:ind w:left="360" w:hanging="360"/>
      </w:pPr>
    </w:lvl>
  </w:abstractNum>
  <w:abstractNum w:abstractNumId="1" w15:restartNumberingAfterBreak="0">
    <w:nsid w:val="0A604491"/>
    <w:multiLevelType w:val="multilevel"/>
    <w:tmpl w:val="EC923B34"/>
    <w:lvl w:ilvl="0">
      <w:start w:val="22"/>
      <w:numFmt w:val="decimal"/>
      <w:suff w:val="space"/>
      <w:lvlText w:val="%1"/>
      <w:lvlJc w:val="left"/>
      <w:pPr>
        <w:ind w:left="432" w:hanging="432"/>
      </w:pPr>
    </w:lvl>
    <w:lvl w:ilvl="1">
      <w:start w:val="1"/>
      <w:numFmt w:val="decimal"/>
      <w:pStyle w:val="Bodrady"/>
      <w:lvlText w:val="26.%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C330E2F"/>
    <w:multiLevelType w:val="singleLevel"/>
    <w:tmpl w:val="84F65C8E"/>
    <w:lvl w:ilvl="0">
      <w:start w:val="1"/>
      <w:numFmt w:val="lowerLetter"/>
      <w:lvlText w:val="%1)"/>
      <w:lvlJc w:val="left"/>
      <w:pPr>
        <w:tabs>
          <w:tab w:val="num" w:pos="360"/>
        </w:tabs>
        <w:ind w:left="360" w:hanging="360"/>
      </w:pPr>
    </w:lvl>
  </w:abstractNum>
  <w:abstractNum w:abstractNumId="3" w15:restartNumberingAfterBreak="0">
    <w:nsid w:val="2F323E54"/>
    <w:multiLevelType w:val="singleLevel"/>
    <w:tmpl w:val="DAF6885A"/>
    <w:lvl w:ilvl="0">
      <w:start w:val="1"/>
      <w:numFmt w:val="lowerLetter"/>
      <w:lvlText w:val="%1)"/>
      <w:lvlJc w:val="left"/>
      <w:pPr>
        <w:tabs>
          <w:tab w:val="num" w:pos="360"/>
        </w:tabs>
        <w:ind w:left="360" w:hanging="360"/>
      </w:pPr>
      <w:rPr>
        <w:rFonts w:hint="default"/>
      </w:rPr>
    </w:lvl>
  </w:abstractNum>
  <w:abstractNum w:abstractNumId="4" w15:restartNumberingAfterBreak="0">
    <w:nsid w:val="38D341D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73B833FC"/>
    <w:multiLevelType w:val="singleLevel"/>
    <w:tmpl w:val="057A7F7A"/>
    <w:lvl w:ilvl="0">
      <w:start w:val="3"/>
      <w:numFmt w:val="bullet"/>
      <w:lvlText w:val="-"/>
      <w:lvlJc w:val="left"/>
      <w:pPr>
        <w:tabs>
          <w:tab w:val="num" w:pos="600"/>
        </w:tabs>
        <w:ind w:left="600" w:hanging="360"/>
      </w:pPr>
      <w:rPr>
        <w:rFonts w:hint="default"/>
      </w:rPr>
    </w:lvl>
  </w:abstractNum>
  <w:abstractNum w:abstractNumId="6" w15:restartNumberingAfterBreak="0">
    <w:nsid w:val="746B0488"/>
    <w:multiLevelType w:val="singleLevel"/>
    <w:tmpl w:val="AE3CE9C0"/>
    <w:lvl w:ilvl="0">
      <w:start w:val="1"/>
      <w:numFmt w:val="lowerLetter"/>
      <w:pStyle w:val="Nadpis3"/>
      <w:lvlText w:val="%1)"/>
      <w:lvlJc w:val="left"/>
      <w:pPr>
        <w:tabs>
          <w:tab w:val="num" w:pos="644"/>
        </w:tabs>
        <w:ind w:left="644" w:hanging="360"/>
      </w:pPr>
      <w:rPr>
        <w:rFonts w:hint="default"/>
      </w:rPr>
    </w:lvl>
  </w:abstractNum>
  <w:abstractNum w:abstractNumId="7" w15:restartNumberingAfterBreak="0">
    <w:nsid w:val="7C1A32A8"/>
    <w:multiLevelType w:val="singleLevel"/>
    <w:tmpl w:val="2A882CD2"/>
    <w:lvl w:ilvl="0">
      <w:start w:val="1"/>
      <w:numFmt w:val="decimal"/>
      <w:lvlText w:val="%1."/>
      <w:lvlJc w:val="left"/>
      <w:pPr>
        <w:tabs>
          <w:tab w:val="num" w:pos="397"/>
        </w:tabs>
        <w:ind w:left="397" w:hanging="397"/>
      </w:pPr>
    </w:lvl>
  </w:abstractNum>
  <w:abstractNum w:abstractNumId="8" w15:restartNumberingAfterBreak="0">
    <w:nsid w:val="7D54603E"/>
    <w:multiLevelType w:val="singleLevel"/>
    <w:tmpl w:val="EE9A538C"/>
    <w:lvl w:ilvl="0">
      <w:start w:val="533"/>
      <w:numFmt w:val="bullet"/>
      <w:lvlText w:val="-"/>
      <w:lvlJc w:val="left"/>
      <w:pPr>
        <w:tabs>
          <w:tab w:val="num" w:pos="360"/>
        </w:tabs>
        <w:ind w:left="360" w:hanging="360"/>
      </w:pPr>
      <w:rPr>
        <w:rFonts w:hint="default"/>
      </w:rPr>
    </w:lvl>
  </w:abstractNum>
  <w:num w:numId="1" w16cid:durableId="951086271">
    <w:abstractNumId w:val="7"/>
  </w:num>
  <w:num w:numId="2" w16cid:durableId="996347134">
    <w:abstractNumId w:val="0"/>
  </w:num>
  <w:num w:numId="3" w16cid:durableId="796147230">
    <w:abstractNumId w:val="5"/>
  </w:num>
  <w:num w:numId="4" w16cid:durableId="871764000">
    <w:abstractNumId w:val="8"/>
  </w:num>
  <w:num w:numId="5" w16cid:durableId="1214729880">
    <w:abstractNumId w:val="1"/>
  </w:num>
  <w:num w:numId="6" w16cid:durableId="1848598540">
    <w:abstractNumId w:val="4"/>
  </w:num>
  <w:num w:numId="7" w16cid:durableId="173303445">
    <w:abstractNumId w:val="3"/>
  </w:num>
  <w:num w:numId="8" w16cid:durableId="1066954659">
    <w:abstractNumId w:val="6"/>
  </w:num>
  <w:num w:numId="9" w16cid:durableId="81462751">
    <w:abstractNumId w:val="2"/>
  </w:num>
  <w:num w:numId="10" w16cid:durableId="195266055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83"/>
    <w:rsid w:val="00455A85"/>
    <w:rsid w:val="005267C1"/>
    <w:rsid w:val="00612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5DAD6"/>
  <w15:chartTrackingRefBased/>
  <w15:docId w15:val="{3833FC11-0EB2-4605-98E0-B77EE185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80"/>
    </w:pPr>
    <w:rPr>
      <w:rFonts w:ascii="Arial Narrow" w:hAnsi="Arial Narrow"/>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jc w:val="center"/>
      <w:outlineLvl w:val="1"/>
    </w:pPr>
    <w:rPr>
      <w:b/>
      <w:color w:val="000000"/>
    </w:rPr>
  </w:style>
  <w:style w:type="paragraph" w:styleId="Nadpis3">
    <w:name w:val="heading 3"/>
    <w:basedOn w:val="Normln"/>
    <w:next w:val="Normln"/>
    <w:qFormat/>
    <w:pPr>
      <w:keepNext/>
      <w:numPr>
        <w:numId w:val="8"/>
      </w:numPr>
      <w:spacing w:before="240" w:after="60"/>
      <w:outlineLvl w:val="2"/>
    </w:pPr>
    <w:rPr>
      <w:rFonts w:ascii="Arial" w:hAnsi="Arial"/>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line="240" w:lineRule="atLeast"/>
    </w:pPr>
    <w:rPr>
      <w:kern w:val="18"/>
      <w:sz w:val="22"/>
    </w:rPr>
  </w:style>
  <w:style w:type="paragraph" w:customStyle="1" w:styleId="Bodrady">
    <w:name w:val="Bod rady"/>
    <w:basedOn w:val="Normln"/>
    <w:pPr>
      <w:numPr>
        <w:ilvl w:val="1"/>
        <w:numId w:val="5"/>
      </w:numPr>
      <w:spacing w:before="240"/>
      <w:outlineLvl w:val="1"/>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Normlnpsmeno">
    <w:name w:val="Normální písmeno"/>
    <w:basedOn w:val="Normln"/>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5649</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 y h l á š k a    č</vt:lpstr>
      <vt:lpstr>                                             V y h l á š k a    č</vt:lpstr>
    </vt:vector>
  </TitlesOfParts>
  <Company>BOHDANEČ</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y h l á š k a    č</dc:title>
  <dc:subject/>
  <dc:creator>MĚSTSKÝ ÚŘAD</dc:creator>
  <cp:keywords/>
  <cp:lastModifiedBy>Šajtarová Věra</cp:lastModifiedBy>
  <cp:revision>2</cp:revision>
  <cp:lastPrinted>1998-09-09T06:21:00Z</cp:lastPrinted>
  <dcterms:created xsi:type="dcterms:W3CDTF">2023-05-10T13:26:00Z</dcterms:created>
  <dcterms:modified xsi:type="dcterms:W3CDTF">2023-05-10T13:26:00Z</dcterms:modified>
</cp:coreProperties>
</file>