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tabs>
          <w:tab w:val="clear" w:pos="4536"/>
          <w:tab w:val="clear" w:pos="9072"/>
        </w:tabs>
        <w:rPr>
          <w:bCs/>
        </w:rPr>
      </w:pPr>
      <w:r>
        <w:rPr>
          <w:bCs/>
        </w:rPr>
      </w:r>
    </w:p>
    <w:p>
      <w:pPr>
        <w:pStyle w:val="Normal"/>
        <w:tabs>
          <w:tab w:val="clear" w:pos="708"/>
          <w:tab w:val="left" w:pos="3544" w:leader="none"/>
        </w:tabs>
        <w:jc w:val="center"/>
        <w:rPr>
          <w:rFonts w:ascii="Arial" w:hAnsi="Arial" w:cs="Arial"/>
          <w:b/>
          <w:bCs/>
        </w:rPr>
      </w:pPr>
      <w:r>
        <w:rPr>
          <w:rFonts w:cs="Arial" w:ascii="Arial" w:hAnsi="Arial"/>
          <w:b/>
          <w:bCs/>
        </w:rPr>
        <w:t>OBEC DOLNÍ LOMNÁ</w:t>
      </w:r>
    </w:p>
    <w:p>
      <w:pPr>
        <w:pStyle w:val="Normal"/>
        <w:spacing w:lineRule="auto" w:line="276"/>
        <w:jc w:val="center"/>
        <w:rPr>
          <w:rFonts w:ascii="Arial" w:hAnsi="Arial" w:cs="Arial"/>
          <w:b/>
        </w:rPr>
      </w:pPr>
      <w:r>
        <w:rPr>
          <w:rFonts w:cs="Arial" w:ascii="Arial" w:hAnsi="Arial"/>
          <w:b/>
          <w:bCs/>
        </w:rPr>
        <w:t>Zastupitelstvo obce Dolní Lomná</w:t>
      </w:r>
    </w:p>
    <w:p>
      <w:pPr>
        <w:pStyle w:val="Normal"/>
        <w:spacing w:lineRule="auto" w:line="276"/>
        <w:jc w:val="center"/>
        <w:rPr>
          <w:rFonts w:ascii="Arial" w:hAnsi="Arial" w:cs="Arial"/>
          <w:b/>
        </w:rPr>
      </w:pPr>
      <w:r>
        <w:rPr>
          <w:rFonts w:cs="Arial" w:ascii="Arial" w:hAnsi="Arial"/>
          <w:b/>
        </w:rPr>
      </w:r>
    </w:p>
    <w:p>
      <w:pPr>
        <w:pStyle w:val="Normal"/>
        <w:spacing w:lineRule="auto" w:line="276"/>
        <w:jc w:val="center"/>
        <w:rPr>
          <w:rFonts w:ascii="Arial" w:hAnsi="Arial" w:cs="Arial"/>
          <w:b/>
        </w:rPr>
      </w:pPr>
      <w:r>
        <w:rPr>
          <w:rFonts w:cs="Arial" w:ascii="Arial" w:hAnsi="Arial"/>
          <w:b/>
        </w:rPr>
        <w:t>Obecně závazná vyhláška obce Dolní Lomná</w:t>
      </w:r>
    </w:p>
    <w:p>
      <w:pPr>
        <w:pStyle w:val="Normal"/>
        <w:spacing w:before="0" w:after="120"/>
        <w:jc w:val="center"/>
        <w:rPr>
          <w:sz w:val="22"/>
          <w:szCs w:val="22"/>
        </w:rPr>
      </w:pPr>
      <w:r>
        <w:rPr>
          <w:rFonts w:cs="Arial" w:ascii="Arial" w:hAnsi="Arial"/>
          <w:b/>
          <w:sz w:val="22"/>
          <w:szCs w:val="22"/>
        </w:rPr>
        <w:t>o nočním klidu</w:t>
      </w:r>
    </w:p>
    <w:p>
      <w:pPr>
        <w:pStyle w:val="Normal"/>
        <w:rPr>
          <w:rFonts w:ascii="Arial" w:hAnsi="Arial" w:cs="Arial"/>
          <w:b/>
          <w:sz w:val="22"/>
          <w:szCs w:val="22"/>
          <w:u w:val="single"/>
        </w:rPr>
      </w:pPr>
      <w:r>
        <w:rPr>
          <w:rFonts w:cs="Arial" w:ascii="Arial" w:hAnsi="Arial"/>
          <w:b/>
          <w:sz w:val="22"/>
          <w:szCs w:val="22"/>
          <w:u w:val="single"/>
        </w:rPr>
      </w:r>
    </w:p>
    <w:p>
      <w:pPr>
        <w:pStyle w:val="Normal"/>
        <w:spacing w:before="0" w:after="120"/>
        <w:jc w:val="both"/>
        <w:rPr>
          <w:sz w:val="22"/>
          <w:szCs w:val="22"/>
        </w:rPr>
      </w:pPr>
      <w:r>
        <w:rPr>
          <w:rFonts w:cs="Arial" w:ascii="Arial" w:hAnsi="Arial"/>
          <w:sz w:val="22"/>
          <w:szCs w:val="22"/>
        </w:rPr>
        <w:t>Zastupitelstvo obce Dolní Lomná se na svém zasedání d</w:t>
      </w:r>
      <w:r>
        <w:rPr>
          <w:rFonts w:cs="Arial" w:ascii="Arial" w:hAnsi="Arial"/>
          <w:sz w:val="22"/>
          <w:szCs w:val="22"/>
          <w:shd w:fill="auto" w:val="clear"/>
        </w:rPr>
        <w:t>ne</w:t>
      </w:r>
      <w:r>
        <w:rPr>
          <w:rFonts w:cs="Arial" w:ascii="Arial" w:hAnsi="Arial"/>
          <w:sz w:val="22"/>
          <w:szCs w:val="22"/>
          <w:shd w:fill="auto" w:val="clear"/>
        </w:rPr>
        <w:t xml:space="preserve"> </w:t>
      </w:r>
      <w:r>
        <w:rPr>
          <w:rFonts w:cs="Arial" w:ascii="Arial" w:hAnsi="Arial"/>
          <w:sz w:val="22"/>
          <w:szCs w:val="22"/>
          <w:shd w:fill="auto" w:val="clear"/>
        </w:rPr>
        <w:t>8</w:t>
      </w:r>
      <w:r>
        <w:rPr>
          <w:rFonts w:cs="Arial" w:ascii="Arial" w:hAnsi="Arial"/>
          <w:sz w:val="22"/>
          <w:szCs w:val="22"/>
          <w:shd w:fill="auto" w:val="clear"/>
        </w:rPr>
        <w:t>.</w:t>
      </w:r>
      <w:r>
        <w:rPr>
          <w:rFonts w:cs="Arial" w:ascii="Arial" w:hAnsi="Arial"/>
          <w:sz w:val="22"/>
          <w:szCs w:val="22"/>
          <w:shd w:fill="auto" w:val="clear"/>
        </w:rPr>
        <w:t>12</w:t>
      </w:r>
      <w:r>
        <w:rPr>
          <w:rFonts w:cs="Arial" w:ascii="Arial" w:hAnsi="Arial"/>
          <w:sz w:val="22"/>
          <w:szCs w:val="22"/>
          <w:shd w:fill="auto" w:val="clear"/>
        </w:rPr>
        <w:t>.2025 usnesením č.</w:t>
      </w:r>
      <w:r>
        <w:rPr>
          <w:rFonts w:cs="Arial" w:ascii="Arial" w:hAnsi="Arial"/>
          <w:sz w:val="22"/>
          <w:szCs w:val="22"/>
          <w:shd w:fill="auto" w:val="clear"/>
        </w:rPr>
        <w:t>747</w:t>
      </w:r>
      <w:r>
        <w:rPr>
          <w:rFonts w:cs="Arial" w:ascii="Arial" w:hAnsi="Arial"/>
          <w:sz w:val="22"/>
          <w:szCs w:val="22"/>
          <w:shd w:fill="auto" w:val="clear"/>
        </w:rPr>
        <w:t xml:space="preserve"> </w:t>
      </w:r>
      <w:r>
        <w:rPr>
          <w:rFonts w:cs="Arial" w:ascii="Arial" w:hAnsi="Arial"/>
          <w:sz w:val="22"/>
          <w:szCs w:val="22"/>
          <w:shd w:fill="auto" w:val="clear"/>
        </w:rPr>
        <w:t xml:space="preserve"> /26/25 </w:t>
      </w:r>
      <w:r>
        <w:rPr>
          <w:rFonts w:cs="Arial" w:ascii="Arial" w:hAnsi="Arial"/>
          <w:sz w:val="22"/>
          <w:szCs w:val="22"/>
        </w:rPr>
        <w:t>usneslo vydat na základě ustanovení § 5 odst. 7 zákona č. 251/2016 Sb., o některých přestupcích, ve znění pozdějších předpisů (dále jen „zákon o některých přestupcích“), a v souladu s § 10 písm. d) a § 84 odst. 2 písm. h) zákona č. 128/2000 Sb., o obcích (obecní zřízení), ve znění pozdějších předpisů, tuto obecně závaznou vyhlášku:</w:t>
      </w:r>
    </w:p>
    <w:p>
      <w:pPr>
        <w:pStyle w:val="Normal"/>
        <w:spacing w:before="0" w:after="120"/>
        <w:jc w:val="both"/>
        <w:rPr>
          <w:rFonts w:ascii="Arial" w:hAnsi="Arial" w:cs="Arial"/>
          <w:sz w:val="22"/>
          <w:szCs w:val="22"/>
        </w:rPr>
      </w:pPr>
      <w:r>
        <w:rPr>
          <w:rFonts w:cs="Arial" w:ascii="Arial" w:hAnsi="Arial"/>
          <w:sz w:val="22"/>
          <w:szCs w:val="22"/>
        </w:rPr>
      </w:r>
    </w:p>
    <w:p>
      <w:pPr>
        <w:pStyle w:val="Normal"/>
        <w:jc w:val="center"/>
        <w:rPr>
          <w:sz w:val="22"/>
          <w:szCs w:val="22"/>
        </w:rPr>
      </w:pPr>
      <w:r>
        <w:rPr>
          <w:rFonts w:cs="Arial" w:ascii="Arial" w:hAnsi="Arial"/>
          <w:b/>
          <w:sz w:val="22"/>
          <w:szCs w:val="22"/>
        </w:rPr>
        <w:t>Čl. 1</w:t>
      </w:r>
    </w:p>
    <w:p>
      <w:pPr>
        <w:pStyle w:val="Normal"/>
        <w:jc w:val="center"/>
        <w:rPr>
          <w:sz w:val="22"/>
          <w:szCs w:val="22"/>
        </w:rPr>
      </w:pPr>
      <w:r>
        <w:rPr>
          <w:rFonts w:cs="Arial" w:ascii="Arial" w:hAnsi="Arial"/>
          <w:b/>
          <w:sz w:val="22"/>
          <w:szCs w:val="22"/>
        </w:rPr>
        <w:t xml:space="preserve">Předmět </w:t>
      </w:r>
    </w:p>
    <w:p>
      <w:pPr>
        <w:pStyle w:val="Normal"/>
        <w:jc w:val="both"/>
        <w:rPr>
          <w:rFonts w:ascii="Arial" w:hAnsi="Arial" w:cs="Arial"/>
          <w:b/>
          <w:sz w:val="22"/>
          <w:szCs w:val="22"/>
        </w:rPr>
      </w:pPr>
      <w:r>
        <w:rPr>
          <w:rFonts w:cs="Arial" w:ascii="Arial" w:hAnsi="Arial"/>
          <w:b/>
          <w:sz w:val="22"/>
          <w:szCs w:val="22"/>
        </w:rPr>
      </w:r>
    </w:p>
    <w:p>
      <w:pPr>
        <w:pStyle w:val="Normal"/>
        <w:spacing w:lineRule="auto" w:line="276" w:before="0" w:after="120"/>
        <w:jc w:val="both"/>
        <w:rPr>
          <w:sz w:val="22"/>
          <w:szCs w:val="22"/>
        </w:rPr>
      </w:pPr>
      <w:r>
        <w:rPr>
          <w:rFonts w:cs="Arial" w:ascii="Arial" w:hAnsi="Arial"/>
          <w:sz w:val="22"/>
          <w:szCs w:val="22"/>
        </w:rPr>
        <w:t>Předmětem této obecně závazné vyhlášky je stanovení výjimečných případů, při nichž je doba nočního klidu vymezena odlišně od zákona o některých přestupcích.</w:t>
      </w:r>
    </w:p>
    <w:p>
      <w:pPr>
        <w:pStyle w:val="Normal"/>
        <w:spacing w:before="0" w:after="120"/>
        <w:jc w:val="both"/>
        <w:rPr>
          <w:rFonts w:ascii="Arial" w:hAnsi="Arial" w:cs="Arial"/>
          <w:sz w:val="22"/>
          <w:szCs w:val="22"/>
        </w:rPr>
      </w:pPr>
      <w:r>
        <w:rPr>
          <w:rFonts w:cs="Arial" w:ascii="Arial" w:hAnsi="Arial"/>
          <w:sz w:val="22"/>
          <w:szCs w:val="22"/>
        </w:rPr>
      </w:r>
    </w:p>
    <w:p>
      <w:pPr>
        <w:pStyle w:val="Normal"/>
        <w:jc w:val="center"/>
        <w:rPr>
          <w:sz w:val="22"/>
          <w:szCs w:val="22"/>
        </w:rPr>
      </w:pPr>
      <w:r>
        <w:rPr>
          <w:rFonts w:cs="Arial" w:ascii="Arial" w:hAnsi="Arial"/>
          <w:b/>
          <w:sz w:val="22"/>
          <w:szCs w:val="22"/>
        </w:rPr>
        <w:t>Čl. 2</w:t>
      </w:r>
    </w:p>
    <w:p>
      <w:pPr>
        <w:pStyle w:val="Normal"/>
        <w:jc w:val="center"/>
        <w:rPr>
          <w:sz w:val="22"/>
          <w:szCs w:val="22"/>
        </w:rPr>
      </w:pPr>
      <w:r>
        <w:rPr>
          <w:rFonts w:cs="Arial" w:ascii="Arial" w:hAnsi="Arial"/>
          <w:b/>
          <w:sz w:val="22"/>
          <w:szCs w:val="22"/>
        </w:rPr>
        <w:t>Doba nočního klidu</w:t>
      </w:r>
    </w:p>
    <w:p>
      <w:pPr>
        <w:pStyle w:val="Normal"/>
        <w:jc w:val="center"/>
        <w:rPr>
          <w:rFonts w:ascii="Arial" w:hAnsi="Arial" w:cs="Arial"/>
          <w:b/>
          <w:sz w:val="22"/>
          <w:szCs w:val="22"/>
        </w:rPr>
      </w:pPr>
      <w:r>
        <w:rPr>
          <w:rFonts w:cs="Arial" w:ascii="Arial" w:hAnsi="Arial"/>
          <w:b/>
          <w:sz w:val="22"/>
          <w:szCs w:val="22"/>
        </w:rPr>
      </w:r>
    </w:p>
    <w:p>
      <w:pPr>
        <w:pStyle w:val="Normal"/>
        <w:spacing w:before="0" w:after="120"/>
        <w:jc w:val="both"/>
        <w:rPr>
          <w:sz w:val="22"/>
          <w:szCs w:val="22"/>
        </w:rPr>
      </w:pPr>
      <w:r>
        <w:rPr>
          <w:rFonts w:cs="Arial" w:ascii="Arial" w:hAnsi="Arial"/>
          <w:sz w:val="22"/>
          <w:szCs w:val="22"/>
        </w:rPr>
        <w:t>Dobou nočního klidu se rozumí doba od dvacáté druhé do šesté hodiny.</w:t>
      </w:r>
      <w:r>
        <w:rPr>
          <w:rStyle w:val="FootnoteReference"/>
          <w:rFonts w:cs="Arial" w:ascii="Arial" w:hAnsi="Arial"/>
          <w:sz w:val="22"/>
          <w:szCs w:val="22"/>
        </w:rPr>
        <w:footnoteReference w:id="2"/>
      </w:r>
    </w:p>
    <w:p>
      <w:pPr>
        <w:pStyle w:val="Normal"/>
        <w:spacing w:before="0" w:after="120"/>
        <w:rPr>
          <w:rFonts w:ascii="Arial" w:hAnsi="Arial" w:cs="Arial"/>
          <w:sz w:val="22"/>
          <w:szCs w:val="22"/>
        </w:rPr>
      </w:pPr>
      <w:r>
        <w:rPr>
          <w:rFonts w:cs="Arial" w:ascii="Arial" w:hAnsi="Arial"/>
          <w:sz w:val="22"/>
          <w:szCs w:val="22"/>
        </w:rPr>
      </w:r>
    </w:p>
    <w:p>
      <w:pPr>
        <w:pStyle w:val="Normal"/>
        <w:jc w:val="center"/>
        <w:rPr>
          <w:sz w:val="22"/>
          <w:szCs w:val="22"/>
        </w:rPr>
      </w:pPr>
      <w:r>
        <w:rPr>
          <w:rFonts w:cs="Arial" w:ascii="Arial" w:hAnsi="Arial"/>
          <w:b/>
          <w:sz w:val="22"/>
          <w:szCs w:val="22"/>
        </w:rPr>
        <w:t>Čl. 3</w:t>
      </w:r>
    </w:p>
    <w:p>
      <w:pPr>
        <w:pStyle w:val="Normal"/>
        <w:tabs>
          <w:tab w:val="clear" w:pos="708"/>
          <w:tab w:val="left" w:pos="284" w:leader="none"/>
        </w:tabs>
        <w:spacing w:before="0" w:after="120"/>
        <w:jc w:val="center"/>
        <w:rPr>
          <w:sz w:val="22"/>
          <w:szCs w:val="22"/>
        </w:rPr>
      </w:pPr>
      <w:r>
        <w:rPr>
          <w:rFonts w:cs="Arial" w:ascii="Arial" w:hAnsi="Arial"/>
          <w:b/>
          <w:sz w:val="22"/>
          <w:szCs w:val="22"/>
        </w:rPr>
        <w:t>Stanovení výjimečných případů, při nichž je doba nočního klidu vymezena odlišně od zákona</w:t>
      </w:r>
    </w:p>
    <w:p>
      <w:pPr>
        <w:pStyle w:val="Normal"/>
        <w:tabs>
          <w:tab w:val="clear" w:pos="708"/>
          <w:tab w:val="left" w:pos="284" w:leader="none"/>
        </w:tabs>
        <w:spacing w:before="0" w:after="120"/>
        <w:rPr>
          <w:sz w:val="22"/>
          <w:szCs w:val="22"/>
        </w:rPr>
      </w:pPr>
      <w:r>
        <w:rPr>
          <w:rFonts w:cs="Arial" w:ascii="Arial" w:hAnsi="Arial"/>
          <w:sz w:val="22"/>
          <w:szCs w:val="22"/>
        </w:rPr>
        <w:t>1) Doba nočního klidu se vymezuje od 02:00 do 06:00 hodin, a to v následujících případech:</w:t>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rPr>
          <w:sz w:val="22"/>
          <w:szCs w:val="22"/>
        </w:rPr>
      </w:pPr>
      <w:r>
        <w:rPr>
          <w:rFonts w:cs="Arial" w:ascii="Arial" w:hAnsi="Arial"/>
          <w:sz w:val="22"/>
          <w:szCs w:val="22"/>
        </w:rPr>
        <w:t>a) v noci z 31. prosince na 1. ledna z důvodu konání oslav příchodu nového roku,</w:t>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t>b) v noci z Velikonoční neděle na Velikonoční pondělí,</w:t>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jc w:val="both"/>
        <w:rPr/>
      </w:pPr>
      <w:r>
        <w:rPr>
          <w:sz w:val="22"/>
          <w:szCs w:val="22"/>
        </w:rPr>
        <w:t xml:space="preserve">c) </w:t>
      </w:r>
      <w:r>
        <w:rPr>
          <w:rFonts w:cs="Arial" w:ascii="Arial" w:hAnsi="Arial"/>
          <w:sz w:val="22"/>
          <w:szCs w:val="22"/>
        </w:rPr>
        <w:t>v noci ze dne 30. dubna na 1. května z důvodu konání tradiční akce Stavění máje a pálení čarodějnic,</w:t>
      </w:r>
    </w:p>
    <w:p>
      <w:pPr>
        <w:pStyle w:val="Normal"/>
        <w:tabs>
          <w:tab w:val="clear" w:pos="708"/>
          <w:tab w:val="left" w:pos="284" w:leader="none"/>
        </w:tabs>
        <w:spacing w:before="0" w:after="120"/>
        <w:jc w:val="both"/>
        <w:rPr>
          <w:sz w:val="22"/>
          <w:szCs w:val="22"/>
        </w:rPr>
      </w:pPr>
      <w:r>
        <w:rPr>
          <w:sz w:val="22"/>
          <w:szCs w:val="22"/>
        </w:rPr>
      </w:r>
    </w:p>
    <w:p>
      <w:pPr>
        <w:pStyle w:val="Normal"/>
        <w:tabs>
          <w:tab w:val="clear" w:pos="708"/>
          <w:tab w:val="left" w:pos="284" w:leader="none"/>
        </w:tabs>
        <w:spacing w:before="0" w:after="120"/>
        <w:jc w:val="both"/>
        <w:rPr>
          <w:sz w:val="22"/>
          <w:szCs w:val="22"/>
        </w:rPr>
      </w:pPr>
      <w:r>
        <w:rPr>
          <w:rFonts w:cs="Arial" w:ascii="Arial" w:hAnsi="Arial"/>
          <w:sz w:val="22"/>
          <w:szCs w:val="22"/>
        </w:rPr>
        <w:t>d) v noci ze dne 23. května na 24. května z důvodu konání tradiční akce Slezské dny,</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jc w:val="both"/>
        <w:rPr>
          <w:sz w:val="22"/>
          <w:szCs w:val="22"/>
        </w:rPr>
      </w:pPr>
      <w:r>
        <w:rPr>
          <w:rFonts w:cs="Arial" w:ascii="Arial" w:hAnsi="Arial"/>
          <w:sz w:val="22"/>
          <w:szCs w:val="22"/>
        </w:rPr>
        <w:t>e) v noci ze dne konání tradiční akce Radovánky, na den následující konané jednu noc ze soboty na neděli v měsíci červnu,</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jc w:val="both"/>
        <w:rPr>
          <w:sz w:val="22"/>
          <w:szCs w:val="22"/>
        </w:rPr>
      </w:pPr>
      <w:r>
        <w:rPr>
          <w:rFonts w:cs="Arial" w:ascii="Arial" w:hAnsi="Arial"/>
          <w:sz w:val="22"/>
          <w:szCs w:val="22"/>
        </w:rPr>
        <w:t xml:space="preserve">f) v noci ze dne 13. června na 14. června z důvodu konání tradiční akce Festyn ogrodowy, </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jc w:val="both"/>
        <w:rPr>
          <w:sz w:val="22"/>
          <w:szCs w:val="22"/>
        </w:rPr>
      </w:pPr>
      <w:r>
        <w:rPr>
          <w:sz w:val="22"/>
          <w:szCs w:val="22"/>
        </w:rPr>
      </w:r>
    </w:p>
    <w:p>
      <w:pPr>
        <w:pStyle w:val="Normal"/>
        <w:tabs>
          <w:tab w:val="clear" w:pos="708"/>
          <w:tab w:val="left" w:pos="284" w:leader="none"/>
        </w:tabs>
        <w:spacing w:before="0" w:after="120"/>
        <w:jc w:val="both"/>
        <w:rPr>
          <w:sz w:val="22"/>
          <w:szCs w:val="22"/>
        </w:rPr>
      </w:pPr>
      <w:r>
        <w:rPr>
          <w:sz w:val="22"/>
          <w:szCs w:val="22"/>
        </w:rPr>
        <w:t xml:space="preserve">g) </w:t>
      </w:r>
      <w:r>
        <w:rPr>
          <w:rFonts w:cs="Arial" w:ascii="Arial" w:hAnsi="Arial"/>
          <w:sz w:val="22"/>
          <w:szCs w:val="22"/>
        </w:rPr>
        <w:t>v noci ze dne 4. července na 5. července z důvodu konání tradičního festivalu Ozvěny Pomezí</w:t>
      </w:r>
    </w:p>
    <w:p>
      <w:pPr>
        <w:pStyle w:val="Normal"/>
        <w:tabs>
          <w:tab w:val="clear" w:pos="708"/>
          <w:tab w:val="left" w:pos="284" w:leader="none"/>
        </w:tabs>
        <w:spacing w:before="0" w:after="120"/>
        <w:jc w:val="both"/>
        <w:rPr>
          <w:sz w:val="22"/>
          <w:szCs w:val="22"/>
        </w:rPr>
      </w:pPr>
      <w:r>
        <w:rPr>
          <w:sz w:val="22"/>
          <w:szCs w:val="22"/>
        </w:rPr>
      </w:r>
    </w:p>
    <w:p>
      <w:pPr>
        <w:pStyle w:val="Normal"/>
        <w:tabs>
          <w:tab w:val="clear" w:pos="708"/>
          <w:tab w:val="left" w:pos="284" w:leader="none"/>
        </w:tabs>
        <w:spacing w:before="0" w:after="120"/>
        <w:jc w:val="both"/>
        <w:rPr>
          <w:sz w:val="22"/>
          <w:szCs w:val="22"/>
        </w:rPr>
      </w:pPr>
      <w:r>
        <w:rPr>
          <w:rFonts w:cs="Arial" w:ascii="Arial" w:hAnsi="Arial"/>
          <w:sz w:val="22"/>
          <w:szCs w:val="22"/>
        </w:rPr>
        <w:t>h) v noci ze dne konání tradiční akce Vozatajské závody na den následující konané jednu noc ze soboty na neděli v měsíci červenci,</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 xml:space="preserve">i) </w:t>
      </w:r>
      <w:r>
        <w:rPr>
          <w:rFonts w:cs="Arial" w:ascii="Arial" w:hAnsi="Arial"/>
          <w:sz w:val="22"/>
          <w:szCs w:val="22"/>
        </w:rPr>
        <w:t xml:space="preserve">v noci ze dne 21. srpna na 22. srpna a </w:t>
      </w:r>
      <w:r>
        <w:rPr>
          <w:rFonts w:cs="Arial" w:ascii="Arial" w:hAnsi="Arial"/>
          <w:sz w:val="22"/>
          <w:szCs w:val="22"/>
        </w:rPr>
        <w:t>v noci ze dne 22. srpna na 23. srpna z důvodu konání tradiční akce Lomňanské vrcholy,</w:t>
      </w:r>
    </w:p>
    <w:p>
      <w:pPr>
        <w:pStyle w:val="Normal"/>
        <w:tabs>
          <w:tab w:val="clear" w:pos="708"/>
          <w:tab w:val="left" w:pos="284" w:leader="none"/>
        </w:tabs>
        <w:spacing w:before="0" w:after="120"/>
        <w:jc w:val="both"/>
        <w:rPr>
          <w:sz w:val="22"/>
          <w:szCs w:val="22"/>
        </w:rPr>
      </w:pPr>
      <w:r>
        <w:rPr>
          <w:sz w:val="22"/>
          <w:szCs w:val="22"/>
        </w:rPr>
      </w:r>
    </w:p>
    <w:p>
      <w:pPr>
        <w:pStyle w:val="Normal"/>
        <w:tabs>
          <w:tab w:val="clear" w:pos="708"/>
          <w:tab w:val="left" w:pos="284" w:leader="none"/>
        </w:tabs>
        <w:spacing w:before="0" w:after="120"/>
        <w:jc w:val="both"/>
        <w:rPr>
          <w:sz w:val="22"/>
          <w:szCs w:val="22"/>
        </w:rPr>
      </w:pPr>
      <w:r>
        <w:rPr>
          <w:rFonts w:cs="Arial" w:ascii="Arial" w:hAnsi="Arial"/>
          <w:sz w:val="22"/>
          <w:szCs w:val="22"/>
        </w:rPr>
        <w:t>j) v noci ze dne 3. října na 4. října z důvodu konání tradiční akce Euroregionální jarmark.</w:t>
      </w:r>
    </w:p>
    <w:p>
      <w:pPr>
        <w:pStyle w:val="Normal"/>
        <w:tabs>
          <w:tab w:val="clear" w:pos="708"/>
          <w:tab w:val="left" w:pos="284" w:leader="none"/>
        </w:tabs>
        <w:spacing w:before="0" w:after="120"/>
        <w:rPr>
          <w:rFonts w:ascii="Arial" w:hAnsi="Arial" w:cs="Arial"/>
          <w:color w:val="FF0000"/>
          <w:sz w:val="22"/>
          <w:szCs w:val="22"/>
        </w:rPr>
      </w:pPr>
      <w:r>
        <w:rPr>
          <w:rFonts w:cs="Arial" w:ascii="Arial" w:hAnsi="Arial"/>
          <w:color w:val="FF0000"/>
          <w:sz w:val="22"/>
          <w:szCs w:val="22"/>
        </w:rPr>
      </w:r>
    </w:p>
    <w:p>
      <w:pPr>
        <w:pStyle w:val="Normal"/>
        <w:tabs>
          <w:tab w:val="clear" w:pos="708"/>
          <w:tab w:val="left" w:pos="284" w:leader="none"/>
        </w:tabs>
        <w:spacing w:before="0" w:after="120"/>
        <w:jc w:val="both"/>
        <w:rPr>
          <w:sz w:val="22"/>
          <w:szCs w:val="22"/>
        </w:rPr>
      </w:pPr>
      <w:r>
        <w:rPr>
          <w:rFonts w:cs="Arial" w:ascii="Arial" w:hAnsi="Arial"/>
          <w:sz w:val="22"/>
          <w:szCs w:val="22"/>
        </w:rPr>
        <w:t xml:space="preserve">2) Informace o konkrétním termínu konání akcí uvedených v odst. 1 písm. e) a h) tohoto článku obecně závazné vyhlášky bude zveřejněna obecním úřadem na úřední desce minimálně 5 dnů před datem konání.      </w:t>
      </w:r>
    </w:p>
    <w:p>
      <w:pPr>
        <w:pStyle w:val="Normal"/>
        <w:tabs>
          <w:tab w:val="clear" w:pos="708"/>
          <w:tab w:val="left" w:pos="284" w:leader="none"/>
        </w:tabs>
        <w:spacing w:before="0" w:after="120"/>
        <w:jc w:val="both"/>
        <w:rPr>
          <w:sz w:val="22"/>
          <w:szCs w:val="22"/>
        </w:rPr>
      </w:pPr>
      <w:r>
        <w:rPr>
          <w:rFonts w:cs="Arial" w:ascii="Arial" w:hAnsi="Arial"/>
          <w:sz w:val="22"/>
          <w:szCs w:val="22"/>
        </w:rPr>
        <w:t xml:space="preserve">                          </w:t>
      </w:r>
    </w:p>
    <w:p>
      <w:pPr>
        <w:pStyle w:val="Normal"/>
        <w:jc w:val="center"/>
        <w:rPr>
          <w:sz w:val="22"/>
          <w:szCs w:val="22"/>
        </w:rPr>
      </w:pPr>
      <w:r>
        <w:rPr>
          <w:rFonts w:cs="Arial" w:ascii="Arial" w:hAnsi="Arial"/>
          <w:b/>
          <w:sz w:val="22"/>
          <w:szCs w:val="22"/>
        </w:rPr>
        <w:t>Čl. 4</w:t>
      </w:r>
    </w:p>
    <w:p>
      <w:pPr>
        <w:pStyle w:val="Normal"/>
        <w:jc w:val="center"/>
        <w:rPr>
          <w:sz w:val="22"/>
          <w:szCs w:val="22"/>
        </w:rPr>
      </w:pPr>
      <w:r>
        <w:rPr>
          <w:rFonts w:cs="Arial" w:ascii="Arial" w:hAnsi="Arial"/>
          <w:b/>
          <w:sz w:val="22"/>
          <w:szCs w:val="22"/>
        </w:rPr>
        <w:t>Účinnost</w:t>
      </w:r>
    </w:p>
    <w:p>
      <w:pPr>
        <w:pStyle w:val="Normal"/>
        <w:jc w:val="center"/>
        <w:rPr>
          <w:rFonts w:ascii="Arial" w:hAnsi="Arial" w:cs="Arial"/>
          <w:b/>
          <w:sz w:val="22"/>
          <w:szCs w:val="22"/>
        </w:rPr>
      </w:pPr>
      <w:r>
        <w:rPr>
          <w:rFonts w:cs="Arial" w:ascii="Arial" w:hAnsi="Arial"/>
          <w:b/>
          <w:sz w:val="22"/>
          <w:szCs w:val="22"/>
        </w:rPr>
      </w:r>
    </w:p>
    <w:p>
      <w:pPr>
        <w:pStyle w:val="Normal"/>
        <w:jc w:val="both"/>
        <w:rPr>
          <w:sz w:val="22"/>
          <w:szCs w:val="22"/>
        </w:rPr>
      </w:pPr>
      <w:r>
        <w:rPr>
          <w:rFonts w:cs="Arial" w:ascii="Arial" w:hAnsi="Arial"/>
          <w:sz w:val="22"/>
          <w:szCs w:val="22"/>
        </w:rPr>
        <w:t>Tato obecně závazná vyhláška nabývá účinnosti počátkem patnáctého dne následujícího po dni jejího vyhlášení.</w:t>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sz w:val="22"/>
          <w:szCs w:val="22"/>
        </w:rPr>
      </w:pPr>
      <w:r>
        <w:rPr>
          <w:rFonts w:cs="Arial" w:ascii="Arial" w:hAnsi="Arial"/>
          <w:i/>
          <w:sz w:val="22"/>
          <w:szCs w:val="22"/>
        </w:rPr>
        <w:tab/>
        <w:tab/>
        <w:tab/>
        <w:tab/>
        <w:tab/>
        <w:tab/>
        <w:tab/>
      </w:r>
    </w:p>
    <w:p>
      <w:pPr>
        <w:pStyle w:val="Normal"/>
        <w:spacing w:before="0" w:after="120"/>
        <w:rPr>
          <w:sz w:val="22"/>
          <w:szCs w:val="22"/>
        </w:rPr>
      </w:pPr>
      <w:r>
        <w:rPr>
          <w:rFonts w:cs="Arial" w:ascii="Arial" w:hAnsi="Arial"/>
          <w:sz w:val="22"/>
          <w:szCs w:val="22"/>
        </w:rPr>
        <w:t>.............................</w:t>
        <w:tab/>
        <w:tab/>
        <w:tab/>
        <w:tab/>
        <w:tab/>
        <w:tab/>
        <w:t>...................................</w:t>
      </w:r>
    </w:p>
    <w:p>
      <w:pPr>
        <w:pStyle w:val="Normal"/>
        <w:spacing w:before="0" w:after="120"/>
        <w:rPr>
          <w:sz w:val="22"/>
          <w:szCs w:val="22"/>
        </w:rPr>
      </w:pPr>
      <w:r>
        <w:rPr>
          <w:rFonts w:cs="Arial" w:ascii="Arial" w:hAnsi="Arial"/>
          <w:sz w:val="22"/>
          <w:szCs w:val="22"/>
        </w:rPr>
        <w:t>Mgr. Jana Kufová v. r.</w:t>
        <w:tab/>
        <w:tab/>
        <w:tab/>
        <w:tab/>
        <w:t xml:space="preserve">           Eva Sikorová v. r.   </w:t>
      </w:r>
    </w:p>
    <w:p>
      <w:pPr>
        <w:pStyle w:val="Normal"/>
        <w:spacing w:before="0" w:after="120"/>
        <w:rPr>
          <w:sz w:val="22"/>
          <w:szCs w:val="22"/>
        </w:rPr>
      </w:pPr>
      <w:r>
        <w:rPr>
          <w:rFonts w:cs="Arial" w:ascii="Arial" w:hAnsi="Arial"/>
          <w:sz w:val="22"/>
          <w:szCs w:val="22"/>
        </w:rPr>
        <w:t>místostarostka</w:t>
        <w:tab/>
        <w:tab/>
        <w:tab/>
        <w:tab/>
        <w:tab/>
        <w:t xml:space="preserve">           starostka obce</w:t>
      </w:r>
    </w:p>
    <w:p>
      <w:pPr>
        <w:pStyle w:val="Normal"/>
        <w:rPr>
          <w:b/>
          <w:sz w:val="22"/>
          <w:szCs w:val="22"/>
        </w:rPr>
      </w:pPr>
      <w:r>
        <w:rPr>
          <w:b/>
          <w:sz w:val="22"/>
          <w:szCs w:val="22"/>
        </w:rPr>
      </w:r>
    </w:p>
    <w:sectPr>
      <w:footnotePr>
        <w:numFmt w:val="decimal"/>
      </w:footnotePr>
      <w:type w:val="nextPage"/>
      <w:pgSz w:w="11906" w:h="16838"/>
      <w:pgMar w:left="1417" w:right="1417" w:gutter="0" w:header="0" w:top="709" w:footer="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Times New Roman">
    <w:charset w:val="ee" w:characterSet="windows-1250"/>
    <w:family w:val="roman"/>
    <w:pitch w:val="variable"/>
  </w:font>
  <w:font w:name="Arial">
    <w:charset w:val="ee" w:characterSet="windows-1250"/>
    <w:family w:val="swiss"/>
    <w:pitch w:val="variable"/>
  </w:font>
  <w:font w:name="Liberation Sans">
    <w:altName w:val="Arial"/>
    <w:charset w:val="ee" w:characterSet="windows-1250"/>
    <w:family w:val="swiss"/>
    <w:pitch w:val="variable"/>
  </w:font>
  <w:font w:name="Tahoma">
    <w:charset w:val="ee" w:characterSet="windows-1250"/>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jc w:val="both"/>
        <w:rPr>
          <w:rFonts w:ascii="Arial" w:hAnsi="Arial" w:cs="Arial"/>
          <w:i/>
          <w:i/>
        </w:rPr>
      </w:pPr>
      <w:r>
        <w:rPr>
          <w:rStyle w:val="Znakypropoznmkupodarou"/>
        </w:rPr>
        <w:footnoteRef/>
      </w:r>
      <w:r>
        <w:rPr/>
        <w:t xml:space="preserve"> </w:t>
      </w:r>
      <w:r>
        <w:rPr>
          <w:rFonts w:cs="Arial" w:ascii="Arial" w:hAnsi="Arial"/>
        </w:rPr>
        <w:t xml:space="preserve">dle ustanovení § 5 odst. 7 zákona č. 251/2016 Sb., o některých přestupcích, ve znění pozdějších předpisů, platí, že: </w:t>
      </w:r>
      <w:r>
        <w:rPr>
          <w:rFonts w:cs="Arial" w:ascii="Arial" w:hAnsi="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pPr>
        <w:pStyle w:val="FootnoteText"/>
        <w:jc w:val="both"/>
        <w:rPr/>
      </w:pPr>
      <w:r>
        <w:rPr/>
      </w:r>
    </w:p>
  </w:footnote>
</w:footnotes>
</file>

<file path=word/settings.xml><?xml version="1.0" encoding="utf-8"?>
<w:settings xmlns:w="http://schemas.openxmlformats.org/wordprocessingml/2006/main">
  <w:zoom w:percent="100"/>
  <w:embedSystemFonts/>
  <w:defaultTabStop w:val="708"/>
  <w:autoHyphenation w:val="true"/>
  <w:hyphenationZone w:val="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4"/>
      <w:szCs w:val="24"/>
      <w:lang w:val="cs-CZ" w:eastAsia="cs-CZ" w:bidi="ar-SA"/>
    </w:rPr>
  </w:style>
  <w:style w:type="paragraph" w:styleId="Heading2">
    <w:name w:val="heading 2"/>
    <w:basedOn w:val="Normal"/>
    <w:next w:val="Normal"/>
    <w:qFormat/>
    <w:pPr>
      <w:keepNext w:val="true"/>
      <w:jc w:val="both"/>
      <w:outlineLvl w:val="1"/>
    </w:pPr>
    <w:rPr>
      <w:szCs w:val="20"/>
      <w:u w:val="single"/>
    </w:rPr>
  </w:style>
  <w:style w:type="character" w:styleId="DefaultParagraphFont" w:default="1">
    <w:name w:val="Default Paragraph Font"/>
    <w:uiPriority w:val="1"/>
    <w:semiHidden/>
    <w:unhideWhenUsed/>
    <w:qFormat/>
    <w:rPr/>
  </w:style>
  <w:style w:type="character" w:styleId="Znakypropoznmkupodarouuser" w:customStyle="1">
    <w:name w:val="Znaky pro poznámku pod čarou (user)"/>
    <w:uiPriority w:val="99"/>
    <w:semiHidden/>
    <w:qFormat/>
    <w:rPr>
      <w:vertAlign w:val="superscript"/>
    </w:rPr>
  </w:style>
  <w:style w:type="character" w:styleId="Znakypropoznmkupodarou">
    <w:name w:val="Znaky pro poznámku pod čarou"/>
    <w:qFormat/>
    <w:rPr>
      <w:vertAlign w:val="superscript"/>
    </w:rPr>
  </w:style>
  <w:style w:type="character" w:styleId="FootnoteReference">
    <w:name w:val="footnote reference"/>
    <w:rPr>
      <w:vertAlign w:val="superscript"/>
    </w:rPr>
  </w:style>
  <w:style w:type="character" w:styleId="CommentReference">
    <w:name w:val="annotation reference"/>
    <w:semiHidden/>
    <w:qFormat/>
    <w:rPr>
      <w:sz w:val="16"/>
      <w:szCs w:val="16"/>
    </w:rPr>
  </w:style>
  <w:style w:type="character" w:styleId="ZkladntextChar" w:customStyle="1">
    <w:name w:val="Základní text Char"/>
    <w:qFormat/>
    <w:rsid w:val="008928e7"/>
    <w:rPr>
      <w:sz w:val="24"/>
    </w:rPr>
  </w:style>
  <w:style w:type="character" w:styleId="TextpoznpodarouChar" w:customStyle="1">
    <w:name w:val="Text pozn. pod čarou Char"/>
    <w:uiPriority w:val="99"/>
    <w:qFormat/>
    <w:rsid w:val="005545d7"/>
    <w:rPr/>
  </w:style>
  <w:style w:type="character" w:styleId="TextChar" w:customStyle="1">
    <w:name w:val="Text Char"/>
    <w:link w:val="Text"/>
    <w:qFormat/>
    <w:locked/>
    <w:rsid w:val="00191966"/>
    <w:rPr>
      <w:rFonts w:ascii="Arial" w:hAnsi="Arial" w:cs="Arial"/>
      <w:sz w:val="24"/>
      <w:szCs w:val="24"/>
    </w:rPr>
  </w:style>
  <w:style w:type="character" w:styleId="TextkomenteChar" w:customStyle="1">
    <w:name w:val="Text komentáře Char"/>
    <w:basedOn w:val="DefaultParagraphFont"/>
    <w:semiHidden/>
    <w:qFormat/>
    <w:rsid w:val="00e30bcc"/>
    <w:rPr/>
  </w:style>
  <w:style w:type="character" w:styleId="PedmtkomenteChar" w:customStyle="1">
    <w:name w:val="Předmět komentáře Char"/>
    <w:basedOn w:val="TextkomenteChar"/>
    <w:link w:val="annotationsubject"/>
    <w:uiPriority w:val="99"/>
    <w:semiHidden/>
    <w:qFormat/>
    <w:rsid w:val="00e30bcc"/>
    <w:rPr>
      <w:b/>
      <w:bCs/>
    </w:rPr>
  </w:style>
  <w:style w:type="character" w:styleId="Znakyprovysvtlivky">
    <w:name w:val="Znaky pro vysvětlivky"/>
    <w:qFormat/>
    <w:rPr>
      <w:vertAlign w:val="superscript"/>
    </w:rPr>
  </w:style>
  <w:style w:type="character" w:styleId="EndnoteReference">
    <w:name w:val="endnote reference"/>
    <w:rPr>
      <w:vertAlign w:val="superscript"/>
    </w:rPr>
  </w:style>
  <w:style w:type="character" w:styleId="Znakyprovysvtlivkyuser" w:customStyle="1">
    <w:name w:val="Znaky pro vysvětlivky (user)"/>
    <w:qFormat/>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ZkladntextChar"/>
    <w:pPr>
      <w:spacing w:before="0" w:after="120"/>
    </w:pPr>
    <w:rPr>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rPr>
  </w:style>
  <w:style w:type="paragraph" w:styleId="Rejstk">
    <w:name w:val="Rejstřík"/>
    <w:basedOn w:val="Normal"/>
    <w:qFormat/>
    <w:pPr>
      <w:suppressLineNumbers/>
    </w:pPr>
    <w:rPr>
      <w:rFonts w:cs="Lucida Sans"/>
    </w:rPr>
  </w:style>
  <w:style w:type="paragraph" w:styleId="Nadpisuser" w:customStyle="1">
    <w:name w:val="Nadpis (user)"/>
    <w:basedOn w:val="Normal"/>
    <w:next w:val="BodyText"/>
    <w:qFormat/>
    <w:pPr>
      <w:keepNext w:val="true"/>
      <w:spacing w:before="240" w:after="120"/>
    </w:pPr>
    <w:rPr>
      <w:rFonts w:ascii="Liberation Sans" w:hAnsi="Liberation Sans" w:eastAsia="Microsoft YaHei" w:cs="Lucida Sans"/>
      <w:sz w:val="28"/>
      <w:szCs w:val="28"/>
    </w:rPr>
  </w:style>
  <w:style w:type="paragraph" w:styleId="Rejstkuser" w:customStyle="1">
    <w:name w:val="Rejstřík (user)"/>
    <w:basedOn w:val="Normal"/>
    <w:qFormat/>
    <w:pPr>
      <w:suppressLineNumbers/>
    </w:pPr>
    <w:rPr>
      <w:rFonts w:cs="Lucida Sans"/>
    </w:rPr>
  </w:style>
  <w:style w:type="paragraph" w:styleId="BodyTextIndent">
    <w:name w:val="Body Text Indent"/>
    <w:basedOn w:val="Normal"/>
    <w:pPr>
      <w:ind w:firstLine="357" w:start="708"/>
      <w:jc w:val="both"/>
    </w:pPr>
    <w:rPr>
      <w:szCs w:val="20"/>
    </w:rPr>
  </w:style>
  <w:style w:type="paragraph" w:styleId="BodyTextIndent2">
    <w:name w:val="Body Text Indent 2"/>
    <w:basedOn w:val="Normal"/>
    <w:qFormat/>
    <w:pPr>
      <w:ind w:firstLine="360" w:start="708"/>
      <w:jc w:val="both"/>
    </w:pPr>
    <w:rPr>
      <w:bCs/>
      <w:szCs w:val="20"/>
    </w:rPr>
  </w:style>
  <w:style w:type="paragraph" w:styleId="Zhlavazpatuser" w:customStyle="1">
    <w:name w:val="Záhlaví a zápatí (user)"/>
    <w:basedOn w:val="Normal"/>
    <w:qFormat/>
    <w:pPr/>
    <w:rPr/>
  </w:style>
  <w:style w:type="paragraph" w:styleId="Zhlavazpat">
    <w:name w:val="Záhlaví a zápatí"/>
    <w:basedOn w:val="Normal"/>
    <w:qFormat/>
    <w:pPr/>
    <w:rPr/>
  </w:style>
  <w:style w:type="paragraph" w:styleId="Header">
    <w:name w:val="header"/>
    <w:basedOn w:val="Normal"/>
    <w:pPr>
      <w:tabs>
        <w:tab w:val="clear" w:pos="708"/>
        <w:tab w:val="center" w:pos="4536" w:leader="none"/>
        <w:tab w:val="right" w:pos="9072" w:leader="none"/>
      </w:tabs>
    </w:pPr>
    <w:rPr>
      <w:szCs w:val="20"/>
    </w:rPr>
  </w:style>
  <w:style w:type="paragraph" w:styleId="FootnoteText">
    <w:name w:val="footnote text"/>
    <w:basedOn w:val="Normal"/>
    <w:link w:val="TextpoznpodarouChar"/>
    <w:uiPriority w:val="99"/>
    <w:pPr/>
    <w:rPr>
      <w:sz w:val="20"/>
      <w:szCs w:val="20"/>
    </w:rPr>
  </w:style>
  <w:style w:type="paragraph" w:styleId="NormlnIMP" w:customStyle="1">
    <w:name w:val="Normální_IMP"/>
    <w:basedOn w:val="Normal"/>
    <w:qFormat/>
    <w:pPr>
      <w:spacing w:lineRule="auto" w:line="230"/>
      <w:jc w:val="both"/>
      <w:textAlignment w:val="baseline"/>
    </w:pPr>
    <w:rPr>
      <w:szCs w:val="20"/>
    </w:rPr>
  </w:style>
  <w:style w:type="paragraph" w:styleId="CommentText">
    <w:name w:val="annotation text"/>
    <w:basedOn w:val="Normal"/>
    <w:link w:val="TextkomenteChar"/>
    <w:semiHidden/>
    <w:pPr/>
    <w:rPr>
      <w:sz w:val="20"/>
      <w:szCs w:val="20"/>
    </w:rPr>
  </w:style>
  <w:style w:type="paragraph" w:styleId="BodyTextIndent3">
    <w:name w:val="Body Text Indent 3"/>
    <w:basedOn w:val="Normal"/>
    <w:qFormat/>
    <w:pPr>
      <w:widowControl w:val="false"/>
      <w:tabs>
        <w:tab w:val="clear" w:pos="708"/>
        <w:tab w:val="left" w:pos="540" w:leader="none"/>
      </w:tabs>
      <w:ind w:hanging="540" w:start="540"/>
      <w:jc w:val="both"/>
    </w:pPr>
    <w:rPr>
      <w:bCs/>
    </w:rPr>
  </w:style>
  <w:style w:type="paragraph" w:styleId="BalloonText">
    <w:name w:val="Balloon Text"/>
    <w:basedOn w:val="Normal"/>
    <w:semiHidden/>
    <w:qFormat/>
    <w:pPr/>
    <w:rPr>
      <w:rFonts w:ascii="Tahoma" w:hAnsi="Tahoma" w:cs="Tahoma"/>
      <w:sz w:val="16"/>
      <w:szCs w:val="16"/>
    </w:rPr>
  </w:style>
  <w:style w:type="paragraph" w:styleId="ListParagraph">
    <w:name w:val="List Paragraph"/>
    <w:basedOn w:val="Normal"/>
    <w:uiPriority w:val="34"/>
    <w:qFormat/>
    <w:rsid w:val="005545d7"/>
    <w:pPr>
      <w:spacing w:before="0" w:after="0"/>
      <w:ind w:start="720"/>
      <w:contextualSpacing/>
    </w:pPr>
    <w:rPr/>
  </w:style>
  <w:style w:type="paragraph" w:styleId="Text" w:customStyle="1">
    <w:name w:val="Text"/>
    <w:basedOn w:val="Normal"/>
    <w:link w:val="TextChar"/>
    <w:qFormat/>
    <w:rsid w:val="00191966"/>
    <w:pPr/>
    <w:rPr>
      <w:rFonts w:ascii="Arial" w:hAnsi="Arial" w:cs="Arial"/>
    </w:rPr>
  </w:style>
  <w:style w:type="paragraph" w:styleId="annotationsubject">
    <w:name w:val="annotation subject"/>
    <w:basedOn w:val="CommentText"/>
    <w:next w:val="CommentText"/>
    <w:link w:val="PedmtkomenteChar"/>
    <w:uiPriority w:val="99"/>
    <w:semiHidden/>
    <w:unhideWhenUsed/>
    <w:qFormat/>
    <w:rsid w:val="00e30bcc"/>
    <w:pPr/>
    <w:rPr>
      <w:b/>
      <w:bCs/>
    </w:rPr>
  </w:style>
  <w:style w:type="numbering" w:styleId="Bezseznamu" w:default="1">
    <w:name w:val="Bez seznamu"/>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6AF95-EF14-4956-8E92-780177D7E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Application>LibreOffice/25.8.3.2$Windows_X86_64 LibreOffice_project/8ca8d55c161d602844f5428fa4b58097424e324e</Application>
  <AppVersion>15.0000</AppVersion>
  <Pages>2</Pages>
  <Words>473</Words>
  <Characters>2376</Characters>
  <CharactersWithSpaces>2897</CharactersWithSpaces>
  <Paragraphs>34</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2025-11-19T08:56:00Z</dcterms:created>
  <dc:creator>DA210036</dc:creator>
  <dc:description/>
  <dc:language>cs-CZ</dc:language>
  <cp:lastModifiedBy/>
  <cp:lastPrinted>2025-12-10T08:20:06Z</cp:lastPrinted>
  <dcterms:modified xsi:type="dcterms:W3CDTF">2025-12-10T08:20:12Z</dcterms:modified>
  <cp:revision>6</cp:revision>
  <dc:subject/>
  <dc:title>Vzor obecně závazné vyhlášky obce o stanovení systému shromažďování, sběru, přepravy, třídění, využívání a odstraňování komuná</dc:title>
</cp:coreProperties>
</file>

<file path=docProps/custom.xml><?xml version="1.0" encoding="utf-8"?>
<Properties xmlns="http://schemas.openxmlformats.org/officeDocument/2006/custom-properties" xmlns:vt="http://schemas.openxmlformats.org/officeDocument/2006/docPropsVTypes"/>
</file>