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s>
        <w:rPr>
          <w:bCs/>
        </w:rPr>
      </w:pPr>
      <w:r>
        <w:rPr>
          <w:bCs/>
        </w:rPr>
      </w:r>
    </w:p>
    <w:p>
      <w:pPr>
        <w:pStyle w:val="Normal"/>
        <w:tabs>
          <w:tab w:val="clear" w:pos="708"/>
          <w:tab w:val="left" w:pos="3544" w:leader="none"/>
        </w:tabs>
        <w:jc w:val="center"/>
        <w:rPr>
          <w:rFonts w:ascii="Arial" w:hAnsi="Arial" w:cs="Arial"/>
          <w:b/>
          <w:bCs/>
        </w:rPr>
      </w:pPr>
      <w:r>
        <w:rPr>
          <w:rFonts w:cs="Arial" w:ascii="Arial" w:hAnsi="Arial"/>
          <w:b/>
          <w:bCs/>
        </w:rPr>
        <w:t>OBEC DOLNÍ LOMNÁ</w:t>
      </w:r>
    </w:p>
    <w:p>
      <w:pPr>
        <w:pStyle w:val="Normal"/>
        <w:spacing w:lineRule="auto" w:line="276"/>
        <w:jc w:val="center"/>
        <w:rPr>
          <w:rFonts w:ascii="Arial" w:hAnsi="Arial" w:cs="Arial"/>
          <w:b/>
        </w:rPr>
      </w:pPr>
      <w:r>
        <w:rPr>
          <w:rFonts w:cs="Arial" w:ascii="Arial" w:hAnsi="Arial"/>
          <w:b/>
          <w:bCs/>
        </w:rPr>
        <w:t>Zastupitelstvo obce Dolní Lomná</w:t>
      </w:r>
    </w:p>
    <w:p>
      <w:pPr>
        <w:pStyle w:val="Normal"/>
        <w:spacing w:lineRule="auto" w:line="276"/>
        <w:jc w:val="center"/>
        <w:rPr>
          <w:rFonts w:ascii="Arial" w:hAnsi="Arial" w:cs="Arial"/>
          <w:b/>
        </w:rPr>
      </w:pPr>
      <w:r>
        <w:rPr>
          <w:rFonts w:cs="Arial" w:ascii="Arial" w:hAnsi="Arial"/>
          <w:b/>
        </w:rPr>
      </w:r>
    </w:p>
    <w:p>
      <w:pPr>
        <w:pStyle w:val="Normal"/>
        <w:spacing w:lineRule="auto" w:line="276"/>
        <w:jc w:val="center"/>
        <w:rPr>
          <w:rFonts w:ascii="Arial" w:hAnsi="Arial" w:cs="Arial"/>
          <w:b/>
        </w:rPr>
      </w:pPr>
      <w:r>
        <w:rPr>
          <w:rFonts w:cs="Arial" w:ascii="Arial" w:hAnsi="Arial"/>
          <w:b/>
        </w:rPr>
        <w:t>Obecně závazná vyhláška obce Dolní Lomná</w:t>
      </w:r>
    </w:p>
    <w:p>
      <w:pPr>
        <w:pStyle w:val="Normal"/>
        <w:spacing w:before="0" w:after="120"/>
        <w:jc w:val="center"/>
        <w:rPr>
          <w:sz w:val="22"/>
          <w:szCs w:val="22"/>
        </w:rPr>
      </w:pPr>
      <w:r>
        <w:rPr>
          <w:rFonts w:cs="Arial" w:ascii="Arial" w:hAnsi="Arial"/>
          <w:b/>
          <w:sz w:val="22"/>
          <w:szCs w:val="22"/>
        </w:rPr>
        <w:t>o nočním klidu</w:t>
      </w:r>
    </w:p>
    <w:p>
      <w:pPr>
        <w:pStyle w:val="Normal"/>
        <w:rPr>
          <w:rFonts w:ascii="Arial" w:hAnsi="Arial" w:cs="Arial"/>
          <w:b/>
          <w:sz w:val="22"/>
          <w:szCs w:val="22"/>
          <w:u w:val="single"/>
        </w:rPr>
      </w:pPr>
      <w:r>
        <w:rPr>
          <w:rFonts w:cs="Arial" w:ascii="Arial" w:hAnsi="Arial"/>
          <w:b/>
          <w:sz w:val="22"/>
          <w:szCs w:val="22"/>
          <w:u w:val="single"/>
        </w:rPr>
      </w:r>
    </w:p>
    <w:p>
      <w:pPr>
        <w:pStyle w:val="Normal"/>
        <w:spacing w:before="0" w:after="120"/>
        <w:jc w:val="both"/>
        <w:rPr>
          <w:sz w:val="22"/>
          <w:szCs w:val="22"/>
        </w:rPr>
      </w:pPr>
      <w:r>
        <w:rPr>
          <w:rFonts w:cs="Arial" w:ascii="Arial" w:hAnsi="Arial"/>
          <w:sz w:val="22"/>
          <w:szCs w:val="22"/>
        </w:rPr>
        <w:t>Zastupitelstvo obce Dolní Lomná se na svém zasedání d</w:t>
      </w:r>
      <w:r>
        <w:rPr>
          <w:rFonts w:cs="Arial" w:ascii="Arial" w:hAnsi="Arial"/>
          <w:sz w:val="22"/>
          <w:szCs w:val="22"/>
          <w:shd w:fill="auto" w:val="clear"/>
        </w:rPr>
        <w:t>ne</w:t>
      </w:r>
      <w:r>
        <w:rPr>
          <w:rFonts w:cs="Arial" w:ascii="Arial" w:hAnsi="Arial"/>
          <w:sz w:val="22"/>
          <w:szCs w:val="22"/>
          <w:shd w:fill="auto" w:val="clear"/>
        </w:rPr>
        <w:t xml:space="preserve"> </w:t>
      </w:r>
      <w:r>
        <w:rPr>
          <w:rFonts w:cs="Arial" w:ascii="Arial" w:hAnsi="Arial"/>
          <w:sz w:val="22"/>
          <w:szCs w:val="22"/>
          <w:shd w:fill="auto" w:val="clear"/>
        </w:rPr>
        <w:t>8</w:t>
      </w:r>
      <w:r>
        <w:rPr>
          <w:rFonts w:cs="Arial" w:ascii="Arial" w:hAnsi="Arial"/>
          <w:sz w:val="22"/>
          <w:szCs w:val="22"/>
          <w:shd w:fill="auto" w:val="clear"/>
        </w:rPr>
        <w:t>.</w:t>
      </w:r>
      <w:r>
        <w:rPr>
          <w:rFonts w:cs="Arial" w:ascii="Arial" w:hAnsi="Arial"/>
          <w:sz w:val="22"/>
          <w:szCs w:val="22"/>
          <w:shd w:fill="auto" w:val="clear"/>
        </w:rPr>
        <w:t>12</w:t>
      </w:r>
      <w:r>
        <w:rPr>
          <w:rFonts w:cs="Arial" w:ascii="Arial" w:hAnsi="Arial"/>
          <w:sz w:val="22"/>
          <w:szCs w:val="22"/>
          <w:shd w:fill="auto" w:val="clear"/>
        </w:rPr>
        <w:t>.2025 usnesením č.</w:t>
      </w:r>
      <w:r>
        <w:rPr>
          <w:rFonts w:cs="Arial" w:ascii="Arial" w:hAnsi="Arial"/>
          <w:sz w:val="22"/>
          <w:szCs w:val="22"/>
          <w:shd w:fill="auto" w:val="clear"/>
        </w:rPr>
        <w:t>747</w:t>
      </w:r>
      <w:r>
        <w:rPr>
          <w:rFonts w:cs="Arial" w:ascii="Arial" w:hAnsi="Arial"/>
          <w:sz w:val="22"/>
          <w:szCs w:val="22"/>
          <w:shd w:fill="auto" w:val="clear"/>
        </w:rPr>
        <w:t xml:space="preserve"> </w:t>
      </w:r>
      <w:r>
        <w:rPr>
          <w:rFonts w:cs="Arial" w:ascii="Arial" w:hAnsi="Arial"/>
          <w:sz w:val="22"/>
          <w:szCs w:val="22"/>
          <w:shd w:fill="auto" w:val="clear"/>
        </w:rPr>
        <w:t xml:space="preserve"> /26/25 </w:t>
      </w:r>
      <w:r>
        <w:rPr>
          <w:rFonts w:cs="Arial" w:ascii="Arial" w:hAnsi="Arial"/>
          <w:sz w:val="22"/>
          <w:szCs w:val="22"/>
        </w:rPr>
        <w:t>usneslo vydat na základě ustanovení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b/>
          <w:sz w:val="22"/>
          <w:szCs w:val="22"/>
        </w:rPr>
        <w:t>Čl. 1</w:t>
      </w:r>
    </w:p>
    <w:p>
      <w:pPr>
        <w:pStyle w:val="Normal"/>
        <w:jc w:val="center"/>
        <w:rPr>
          <w:sz w:val="22"/>
          <w:szCs w:val="22"/>
        </w:rPr>
      </w:pPr>
      <w:r>
        <w:rPr>
          <w:rFonts w:cs="Arial" w:ascii="Arial" w:hAnsi="Arial"/>
          <w:b/>
          <w:sz w:val="22"/>
          <w:szCs w:val="22"/>
        </w:rPr>
        <w:t xml:space="preserve">Předmět </w:t>
      </w:r>
    </w:p>
    <w:p>
      <w:pPr>
        <w:pStyle w:val="Normal"/>
        <w:jc w:val="both"/>
        <w:rPr>
          <w:rFonts w:ascii="Arial" w:hAnsi="Arial" w:cs="Arial"/>
          <w:b/>
          <w:sz w:val="22"/>
          <w:szCs w:val="22"/>
        </w:rPr>
      </w:pPr>
      <w:r>
        <w:rPr>
          <w:rFonts w:cs="Arial" w:ascii="Arial" w:hAnsi="Arial"/>
          <w:b/>
          <w:sz w:val="22"/>
          <w:szCs w:val="22"/>
        </w:rPr>
      </w:r>
    </w:p>
    <w:p>
      <w:pPr>
        <w:pStyle w:val="Normal"/>
        <w:spacing w:lineRule="auto" w:line="276" w:before="0" w:after="120"/>
        <w:jc w:val="both"/>
        <w:rPr>
          <w:sz w:val="22"/>
          <w:szCs w:val="22"/>
        </w:rPr>
      </w:pPr>
      <w:r>
        <w:rPr>
          <w:rFonts w:cs="Arial" w:ascii="Arial" w:hAnsi="Arial"/>
          <w:sz w:val="22"/>
          <w:szCs w:val="22"/>
        </w:rPr>
        <w:t>Předmětem této obecně závazné vyhlášky je stanovení výjimečných případů, při nichž je doba nočního klidu vymezena odlišně od zákona o některých přestupcích.</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b/>
          <w:sz w:val="22"/>
          <w:szCs w:val="22"/>
        </w:rPr>
        <w:t>Čl. 2</w:t>
      </w:r>
    </w:p>
    <w:p>
      <w:pPr>
        <w:pStyle w:val="Normal"/>
        <w:jc w:val="center"/>
        <w:rPr>
          <w:sz w:val="22"/>
          <w:szCs w:val="22"/>
        </w:rPr>
      </w:pPr>
      <w:r>
        <w:rPr>
          <w:rFonts w:cs="Arial" w:ascii="Arial" w:hAnsi="Arial"/>
          <w:b/>
          <w:sz w:val="22"/>
          <w:szCs w:val="22"/>
        </w:rPr>
        <w:t>Doba nočního klidu</w:t>
      </w:r>
    </w:p>
    <w:p>
      <w:pPr>
        <w:pStyle w:val="Normal"/>
        <w:jc w:val="center"/>
        <w:rPr>
          <w:rFonts w:ascii="Arial" w:hAnsi="Arial" w:cs="Arial"/>
          <w:b/>
          <w:sz w:val="22"/>
          <w:szCs w:val="22"/>
        </w:rPr>
      </w:pPr>
      <w:r>
        <w:rPr>
          <w:rFonts w:cs="Arial" w:ascii="Arial" w:hAnsi="Arial"/>
          <w:b/>
          <w:sz w:val="22"/>
          <w:szCs w:val="22"/>
        </w:rPr>
      </w:r>
    </w:p>
    <w:p>
      <w:pPr>
        <w:pStyle w:val="Normal"/>
        <w:spacing w:before="0" w:after="120"/>
        <w:jc w:val="both"/>
        <w:rPr>
          <w:sz w:val="22"/>
          <w:szCs w:val="22"/>
        </w:rPr>
      </w:pPr>
      <w:r>
        <w:rPr>
          <w:rFonts w:cs="Arial" w:ascii="Arial" w:hAnsi="Arial"/>
          <w:sz w:val="22"/>
          <w:szCs w:val="22"/>
        </w:rPr>
        <w:t>Dobou nočního klidu se rozumí doba od dvacáté druhé do šesté hodiny.</w:t>
      </w:r>
      <w:r>
        <w:rPr>
          <w:rStyle w:val="FootnoteReference"/>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b/>
          <w:sz w:val="22"/>
          <w:szCs w:val="22"/>
        </w:rPr>
        <w:t>Čl. 3</w:t>
      </w:r>
    </w:p>
    <w:p>
      <w:pPr>
        <w:pStyle w:val="Normal"/>
        <w:tabs>
          <w:tab w:val="clear" w:pos="708"/>
          <w:tab w:val="left" w:pos="284" w:leader="none"/>
        </w:tabs>
        <w:spacing w:before="0" w:after="120"/>
        <w:jc w:val="center"/>
        <w:rPr>
          <w:sz w:val="22"/>
          <w:szCs w:val="22"/>
        </w:rPr>
      </w:pPr>
      <w:r>
        <w:rPr>
          <w:rFonts w:cs="Arial" w:ascii="Arial" w:hAnsi="Arial"/>
          <w:b/>
          <w:sz w:val="22"/>
          <w:szCs w:val="22"/>
        </w:rPr>
        <w:t>Stanovení výjimečných případů, při nichž je doba nočního klidu vymezena odlišně od zákona</w:t>
      </w:r>
    </w:p>
    <w:p>
      <w:pPr>
        <w:pStyle w:val="Normal"/>
        <w:tabs>
          <w:tab w:val="clear" w:pos="708"/>
          <w:tab w:val="left" w:pos="284" w:leader="none"/>
        </w:tabs>
        <w:spacing w:before="0" w:after="120"/>
        <w:rPr>
          <w:sz w:val="22"/>
          <w:szCs w:val="22"/>
        </w:rPr>
      </w:pPr>
      <w:r>
        <w:rPr>
          <w:rFonts w:cs="Arial" w:ascii="Arial" w:hAnsi="Arial"/>
          <w:sz w:val="22"/>
          <w:szCs w:val="22"/>
        </w:rPr>
        <w:t>1) Doba nočního klidu se vymezuje od 02:00 do 06:00 hodin, a to v následujících případech:</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sz w:val="22"/>
          <w:szCs w:val="22"/>
        </w:rPr>
      </w:pPr>
      <w:r>
        <w:rPr>
          <w:rFonts w:cs="Arial" w:ascii="Arial" w:hAnsi="Arial"/>
          <w:sz w:val="22"/>
          <w:szCs w:val="22"/>
        </w:rPr>
        <w:t>a) v noci z 31. prosince na 1. ledna z důvodu konání oslav příchodu nového roku,</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b) v noci z Velikonoční neděle na Velikonoční pondělí,</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pPr>
      <w:r>
        <w:rPr>
          <w:sz w:val="22"/>
          <w:szCs w:val="22"/>
        </w:rPr>
        <w:t xml:space="preserve">c) </w:t>
      </w:r>
      <w:r>
        <w:rPr>
          <w:rFonts w:cs="Arial" w:ascii="Arial" w:hAnsi="Arial"/>
          <w:sz w:val="22"/>
          <w:szCs w:val="22"/>
        </w:rPr>
        <w:t>v noci ze dne 30. dubna na 1. května z důvodu konání tradiční akce Stavění máje a pálení čarodějnic,</w:t>
      </w:r>
    </w:p>
    <w:p>
      <w:pPr>
        <w:pStyle w:val="Normal"/>
        <w:tabs>
          <w:tab w:val="clear" w:pos="708"/>
          <w:tab w:val="left" w:pos="284" w:leader="none"/>
        </w:tabs>
        <w:spacing w:before="0" w:after="120"/>
        <w:jc w:val="both"/>
        <w:rPr>
          <w:sz w:val="22"/>
          <w:szCs w:val="22"/>
        </w:rPr>
      </w:pPr>
      <w:r>
        <w:rPr>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d) v noci ze dne 23. května na 24. května z důvodu konání tradiční akce Slezské dny,</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e) v noci ze dne konání tradiční akce Radovánky, na den následující konané jednu noc ze soboty na neděli v měsíci červnu,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 xml:space="preserve">f) v noci ze dne 13. června na 14. června z důvodu konání tradiční akce Festyn ogrodowy, </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sz w:val="22"/>
          <w:szCs w:val="22"/>
        </w:rPr>
      </w:pPr>
      <w:r>
        <w:rPr>
          <w:sz w:val="22"/>
          <w:szCs w:val="22"/>
        </w:rPr>
      </w:r>
    </w:p>
    <w:p>
      <w:pPr>
        <w:pStyle w:val="Normal"/>
        <w:tabs>
          <w:tab w:val="clear" w:pos="708"/>
          <w:tab w:val="left" w:pos="284" w:leader="none"/>
        </w:tabs>
        <w:spacing w:before="0" w:after="120"/>
        <w:jc w:val="both"/>
        <w:rPr>
          <w:sz w:val="22"/>
          <w:szCs w:val="22"/>
        </w:rPr>
      </w:pPr>
      <w:r>
        <w:rPr>
          <w:sz w:val="22"/>
          <w:szCs w:val="22"/>
        </w:rPr>
        <w:t xml:space="preserve">g) </w:t>
      </w:r>
      <w:r>
        <w:rPr>
          <w:rFonts w:cs="Arial" w:ascii="Arial" w:hAnsi="Arial"/>
          <w:sz w:val="22"/>
          <w:szCs w:val="22"/>
        </w:rPr>
        <w:t>v noci ze dne 4. července na 5. července z důvodu konání tradičního festivalu Ozvěny Pomezí</w:t>
      </w:r>
    </w:p>
    <w:p>
      <w:pPr>
        <w:pStyle w:val="Normal"/>
        <w:tabs>
          <w:tab w:val="clear" w:pos="708"/>
          <w:tab w:val="left" w:pos="284" w:leader="none"/>
        </w:tabs>
        <w:spacing w:before="0" w:after="120"/>
        <w:jc w:val="both"/>
        <w:rPr>
          <w:sz w:val="22"/>
          <w:szCs w:val="22"/>
        </w:rPr>
      </w:pPr>
      <w:r>
        <w:rPr>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h) v noci ze dne konání tradiční akce Vozatajské závody na den následující konané jednu noc ze soboty na neděli v měsíci červenci,</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i) </w:t>
      </w:r>
      <w:r>
        <w:rPr>
          <w:rFonts w:cs="Arial" w:ascii="Arial" w:hAnsi="Arial"/>
          <w:sz w:val="22"/>
          <w:szCs w:val="22"/>
        </w:rPr>
        <w:t xml:space="preserve">v noci ze dne 21. srpna na 22. srpna a </w:t>
      </w:r>
      <w:r>
        <w:rPr>
          <w:rFonts w:cs="Arial" w:ascii="Arial" w:hAnsi="Arial"/>
          <w:sz w:val="22"/>
          <w:szCs w:val="22"/>
        </w:rPr>
        <w:t>v noci ze dne 22. srpna na 23. srpna z důvodu konání tradiční akce Lomňanské vrcholy,</w:t>
      </w:r>
    </w:p>
    <w:p>
      <w:pPr>
        <w:pStyle w:val="Normal"/>
        <w:tabs>
          <w:tab w:val="clear" w:pos="708"/>
          <w:tab w:val="left" w:pos="284" w:leader="none"/>
        </w:tabs>
        <w:spacing w:before="0" w:after="120"/>
        <w:jc w:val="both"/>
        <w:rPr>
          <w:sz w:val="22"/>
          <w:szCs w:val="22"/>
        </w:rPr>
      </w:pPr>
      <w:r>
        <w:rPr>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j) v noci ze dne 3. října na 4. října z důvodu konání tradiční akce Euroregionální jarmark.</w:t>
      </w:r>
    </w:p>
    <w:p>
      <w:pPr>
        <w:pStyle w:val="Normal"/>
        <w:tabs>
          <w:tab w:val="clear" w:pos="708"/>
          <w:tab w:val="left" w:pos="284" w:leader="none"/>
        </w:tabs>
        <w:spacing w:before="0" w:after="120"/>
        <w:rPr>
          <w:rFonts w:ascii="Arial" w:hAnsi="Arial" w:cs="Arial"/>
          <w:color w:val="FF0000"/>
          <w:sz w:val="22"/>
          <w:szCs w:val="22"/>
        </w:rPr>
      </w:pPr>
      <w:r>
        <w:rPr>
          <w:rFonts w:cs="Arial" w:ascii="Arial" w:hAnsi="Arial"/>
          <w:color w:val="FF0000"/>
          <w:sz w:val="22"/>
          <w:szCs w:val="22"/>
        </w:rPr>
      </w:r>
    </w:p>
    <w:p>
      <w:pPr>
        <w:pStyle w:val="Normal"/>
        <w:tabs>
          <w:tab w:val="clear" w:pos="708"/>
          <w:tab w:val="left" w:pos="284" w:leader="none"/>
        </w:tabs>
        <w:spacing w:before="0" w:after="120"/>
        <w:jc w:val="both"/>
        <w:rPr>
          <w:sz w:val="22"/>
          <w:szCs w:val="22"/>
        </w:rPr>
      </w:pPr>
      <w:r>
        <w:rPr>
          <w:rFonts w:cs="Arial" w:ascii="Arial" w:hAnsi="Arial"/>
          <w:sz w:val="22"/>
          <w:szCs w:val="22"/>
        </w:rPr>
        <w:t xml:space="preserve">2) Informace o konkrétním termínu konání akcí uvedených v odst. 1 písm. e) a h) tohoto článku obecně závazné vyhlášky bude zveřejněna obecním úřadem na úřední desce minimálně 5 dnů před datem konání.      </w:t>
      </w:r>
    </w:p>
    <w:p>
      <w:pPr>
        <w:pStyle w:val="Normal"/>
        <w:tabs>
          <w:tab w:val="clear" w:pos="708"/>
          <w:tab w:val="left" w:pos="284" w:leader="none"/>
        </w:tabs>
        <w:spacing w:before="0" w:after="120"/>
        <w:jc w:val="both"/>
        <w:rPr>
          <w:sz w:val="22"/>
          <w:szCs w:val="22"/>
        </w:rPr>
      </w:pPr>
      <w:r>
        <w:rPr>
          <w:rFonts w:cs="Arial" w:ascii="Arial" w:hAnsi="Arial"/>
          <w:sz w:val="22"/>
          <w:szCs w:val="22"/>
        </w:rPr>
        <w:t xml:space="preserve">                          </w:t>
      </w:r>
    </w:p>
    <w:p>
      <w:pPr>
        <w:pStyle w:val="Normal"/>
        <w:jc w:val="center"/>
        <w:rPr>
          <w:sz w:val="22"/>
          <w:szCs w:val="22"/>
        </w:rPr>
      </w:pPr>
      <w:r>
        <w:rPr>
          <w:rFonts w:cs="Arial" w:ascii="Arial" w:hAnsi="Arial"/>
          <w:b/>
          <w:sz w:val="22"/>
          <w:szCs w:val="22"/>
        </w:rPr>
        <w:t>Čl. 4</w:t>
      </w:r>
    </w:p>
    <w:p>
      <w:pPr>
        <w:pStyle w:val="Normal"/>
        <w:jc w:val="center"/>
        <w:rPr>
          <w:sz w:val="22"/>
          <w:szCs w:val="22"/>
        </w:rPr>
      </w:pPr>
      <w:r>
        <w:rPr>
          <w:rFonts w:cs="Arial" w:ascii="Arial" w:hAnsi="Arial"/>
          <w:b/>
          <w:sz w:val="22"/>
          <w:szCs w:val="22"/>
        </w:rPr>
        <w:t>Účinnost</w:t>
      </w:r>
    </w:p>
    <w:p>
      <w:pPr>
        <w:pStyle w:val="Normal"/>
        <w:jc w:val="center"/>
        <w:rPr>
          <w:rFonts w:ascii="Arial" w:hAnsi="Arial" w:cs="Arial"/>
          <w:b/>
          <w:sz w:val="22"/>
          <w:szCs w:val="22"/>
        </w:rPr>
      </w:pPr>
      <w:r>
        <w:rPr>
          <w:rFonts w:cs="Arial" w:ascii="Arial" w:hAnsi="Arial"/>
          <w:b/>
          <w:sz w:val="22"/>
          <w:szCs w:val="22"/>
        </w:rPr>
      </w:r>
    </w:p>
    <w:p>
      <w:pPr>
        <w:pStyle w:val="Normal"/>
        <w:jc w:val="both"/>
        <w:rPr>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sz w:val="22"/>
          <w:szCs w:val="22"/>
        </w:rPr>
      </w:pPr>
      <w:r>
        <w:rPr>
          <w:rFonts w:cs="Arial" w:ascii="Arial" w:hAnsi="Arial"/>
          <w:i/>
          <w:sz w:val="22"/>
          <w:szCs w:val="22"/>
        </w:rPr>
        <w:tab/>
        <w:tab/>
        <w:tab/>
        <w:tab/>
        <w:tab/>
        <w:tab/>
        <w:tab/>
      </w:r>
    </w:p>
    <w:p>
      <w:pPr>
        <w:pStyle w:val="Normal"/>
        <w:spacing w:before="0" w:after="120"/>
        <w:rPr>
          <w:sz w:val="22"/>
          <w:szCs w:val="22"/>
        </w:rPr>
      </w:pPr>
      <w:r>
        <w:rPr>
          <w:rFonts w:cs="Arial" w:ascii="Arial" w:hAnsi="Arial"/>
          <w:sz w:val="22"/>
          <w:szCs w:val="22"/>
        </w:rPr>
        <w:t>.............................</w:t>
        <w:tab/>
        <w:tab/>
        <w:tab/>
        <w:tab/>
        <w:tab/>
        <w:tab/>
        <w:t>...................................</w:t>
      </w:r>
    </w:p>
    <w:p>
      <w:pPr>
        <w:pStyle w:val="Normal"/>
        <w:spacing w:before="0" w:after="120"/>
        <w:rPr>
          <w:sz w:val="22"/>
          <w:szCs w:val="22"/>
        </w:rPr>
      </w:pPr>
      <w:r>
        <w:rPr>
          <w:rFonts w:cs="Arial" w:ascii="Arial" w:hAnsi="Arial"/>
          <w:sz w:val="22"/>
          <w:szCs w:val="22"/>
        </w:rPr>
        <w:t>Mgr. Jana Kufová v. r.</w:t>
        <w:tab/>
        <w:tab/>
        <w:tab/>
        <w:tab/>
        <w:t xml:space="preserve">           Eva Sikorová v. r.   </w:t>
      </w:r>
    </w:p>
    <w:p>
      <w:pPr>
        <w:pStyle w:val="Normal"/>
        <w:spacing w:before="0" w:after="120"/>
        <w:rPr>
          <w:sz w:val="22"/>
          <w:szCs w:val="22"/>
        </w:rPr>
      </w:pPr>
      <w:r>
        <w:rPr>
          <w:rFonts w:cs="Arial" w:ascii="Arial" w:hAnsi="Arial"/>
          <w:sz w:val="22"/>
          <w:szCs w:val="22"/>
        </w:rPr>
        <w:t>místostarostka</w:t>
        <w:tab/>
        <w:tab/>
        <w:tab/>
        <w:tab/>
        <w:tab/>
        <w:t xml:space="preserve">           starostka obce</w:t>
      </w:r>
    </w:p>
    <w:p>
      <w:pPr>
        <w:pStyle w:val="Normal"/>
        <w:rPr>
          <w:b/>
          <w:sz w:val="22"/>
          <w:szCs w:val="22"/>
        </w:rPr>
      </w:pPr>
      <w:r>
        <w:rPr>
          <w:b/>
          <w:sz w:val="22"/>
          <w:szCs w:val="22"/>
        </w:rPr>
      </w:r>
    </w:p>
    <w:sectPr>
      <w:footnotePr>
        <w:numFmt w:val="decimal"/>
      </w:footnotePr>
      <w:type w:val="nextPage"/>
      <w:pgSz w:w="11906" w:h="16838"/>
      <w:pgMar w:left="1417" w:right="141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Liberation Sans">
    <w:altName w:val="Arial"/>
    <w:charset w:val="ee" w:characterSet="windows-1250"/>
    <w:family w:val="swiss"/>
    <w:pitch w:val="variable"/>
  </w:font>
  <w:font w:name="Tahoma">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FootnoteText"/>
        <w:jc w:val="both"/>
        <w:rPr/>
      </w:pPr>
      <w:r>
        <w:rPr/>
      </w:r>
    </w:p>
  </w:footnote>
</w:footnotes>
</file>

<file path=word/settings.xml><?xml version="1.0" encoding="utf-8"?>
<w:settings xmlns:w="http://schemas.openxmlformats.org/wordprocessingml/2006/main">
  <w:zoom w:percent="100"/>
  <w:embedSystemFonts/>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qFormat/>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Znakypropoznmkupodarouuser" w:customStyle="1">
    <w:name w:val="Znaky pro poznámku pod čarou (user)"/>
    <w:uiPriority w:val="99"/>
    <w:semiHidden/>
    <w:qFormat/>
    <w:rPr>
      <w:vertAlign w:val="superscrip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CommentReference">
    <w:name w:val="annotation reference"/>
    <w:semiHidden/>
    <w:qFormat/>
    <w:rPr>
      <w:sz w:val="16"/>
      <w:szCs w:val="16"/>
    </w:rPr>
  </w:style>
  <w:style w:type="character" w:styleId="ZkladntextChar" w:customStyle="1">
    <w:name w:val="Základní text Char"/>
    <w:qFormat/>
    <w:rsid w:val="008928e7"/>
    <w:rPr>
      <w:sz w:val="24"/>
    </w:rPr>
  </w:style>
  <w:style w:type="character" w:styleId="TextpoznpodarouChar" w:customStyle="1">
    <w:name w:val="Text pozn. pod čarou Char"/>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TextkomenteChar" w:customStyle="1">
    <w:name w:val="Text komentáře Char"/>
    <w:basedOn w:val="DefaultParagraphFont"/>
    <w:semiHidden/>
    <w:qFormat/>
    <w:rsid w:val="00e30bcc"/>
    <w:rPr/>
  </w:style>
  <w:style w:type="character" w:styleId="PedmtkomenteChar" w:customStyle="1">
    <w:name w:val="Předmět komentáře Char"/>
    <w:basedOn w:val="TextkomenteChar"/>
    <w:link w:val="annotationsubject"/>
    <w:uiPriority w:val="99"/>
    <w:semiHidden/>
    <w:qFormat/>
    <w:rsid w:val="00e30bcc"/>
    <w:rPr>
      <w:b/>
      <w:bCs/>
    </w:rPr>
  </w:style>
  <w:style w:type="character" w:styleId="Znakyprovysvtlivky">
    <w:name w:val="Znaky pro vysvětlivky"/>
    <w:qFormat/>
    <w:rPr>
      <w:vertAlign w:val="superscript"/>
    </w:rPr>
  </w:style>
  <w:style w:type="character" w:styleId="EndnoteReference">
    <w:name w:val="endnote reference"/>
    <w:rPr>
      <w:vertAlign w:val="superscript"/>
    </w:rPr>
  </w:style>
  <w:style w:type="character" w:styleId="Znakyprovysvtlivkyuser" w:customStyle="1">
    <w:name w:val="Znaky pro vysvětlivky (user)"/>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spacing w:before="0" w:after="120"/>
    </w:pPr>
    <w:rPr>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Rejstk">
    <w:name w:val="Rejstřík"/>
    <w:basedOn w:val="Normal"/>
    <w:qFormat/>
    <w:pPr>
      <w:suppressLineNumbers/>
    </w:pPr>
    <w:rPr>
      <w:rFonts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BodyTextIndent">
    <w:name w:val="Body Text Indent"/>
    <w:basedOn w:val="Normal"/>
    <w:pPr>
      <w:ind w:firstLine="357" w:start="708"/>
      <w:jc w:val="both"/>
    </w:pPr>
    <w:rPr>
      <w:szCs w:val="20"/>
    </w:rPr>
  </w:style>
  <w:style w:type="paragraph" w:styleId="BodyTextIndent2">
    <w:name w:val="Body Text Indent 2"/>
    <w:basedOn w:val="Normal"/>
    <w:qFormat/>
    <w:pPr>
      <w:ind w:firstLine="360" w:start="708"/>
      <w:jc w:val="both"/>
    </w:pPr>
    <w:rPr>
      <w:bCs/>
      <w:szCs w:val="20"/>
    </w:rPr>
  </w:style>
  <w:style w:type="paragraph" w:styleId="Zhlavazpatuser" w:customStyle="1">
    <w:name w:val="Záhlaví a zápatí (user)"/>
    <w:basedOn w:val="Normal"/>
    <w:qFormat/>
    <w:pPr/>
    <w:rPr/>
  </w:style>
  <w:style w:type="paragraph" w:styleId="Zhlavazpat">
    <w:name w:val="Záhlaví a zápatí"/>
    <w:basedOn w:val="Normal"/>
    <w:qFormat/>
    <w:pPr/>
    <w:rPr/>
  </w:style>
  <w:style w:type="paragraph" w:styleId="Header">
    <w:name w:val="header"/>
    <w:basedOn w:val="Normal"/>
    <w:pPr>
      <w:tabs>
        <w:tab w:val="clear" w:pos="708"/>
        <w:tab w:val="center" w:pos="4536" w:leader="none"/>
        <w:tab w:val="right" w:pos="9072" w:leader="none"/>
      </w:tabs>
    </w:pPr>
    <w:rPr>
      <w:szCs w:val="20"/>
    </w:rPr>
  </w:style>
  <w:style w:type="paragraph" w:styleId="FootnoteText">
    <w:name w:val="footnote text"/>
    <w:basedOn w:val="Normal"/>
    <w:link w:val="TextpoznpodarouChar"/>
    <w:uiPriority w:val="99"/>
    <w:pPr/>
    <w:rPr>
      <w:sz w:val="20"/>
      <w:szCs w:val="20"/>
    </w:rPr>
  </w:style>
  <w:style w:type="paragraph" w:styleId="NormlnIMP" w:customStyle="1">
    <w:name w:val="Normální_IMP"/>
    <w:basedOn w:val="Normal"/>
    <w:qFormat/>
    <w:pPr>
      <w:spacing w:lineRule="auto" w:line="230"/>
      <w:jc w:val="both"/>
      <w:textAlignment w:val="baseline"/>
    </w:pPr>
    <w:rPr>
      <w:szCs w:val="20"/>
    </w:rPr>
  </w:style>
  <w:style w:type="paragraph" w:styleId="CommentText">
    <w:name w:val="annotation text"/>
    <w:basedOn w:val="Normal"/>
    <w:link w:val="TextkomenteChar"/>
    <w:semiHidden/>
    <w:pPr/>
    <w:rPr>
      <w:sz w:val="20"/>
      <w:szCs w:val="20"/>
    </w:rPr>
  </w:style>
  <w:style w:type="paragraph" w:styleId="BodyTextIndent3">
    <w:name w:val="Body Text Indent 3"/>
    <w:basedOn w:val="Normal"/>
    <w:qFormat/>
    <w:pPr>
      <w:widowControl w:val="false"/>
      <w:tabs>
        <w:tab w:val="clear" w:pos="708"/>
        <w:tab w:val="left" w:pos="540" w:leader="none"/>
      </w:tabs>
      <w:ind w:hanging="540" w:start="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5545d7"/>
    <w:pPr>
      <w:spacing w:before="0" w:after="0"/>
      <w:ind w:start="720"/>
      <w:contextualSpacing/>
    </w:pPr>
    <w:rPr/>
  </w:style>
  <w:style w:type="paragraph" w:styleId="Text" w:customStyle="1">
    <w:name w:val="Text"/>
    <w:basedOn w:val="Normal"/>
    <w:link w:val="TextChar"/>
    <w:qFormat/>
    <w:rsid w:val="00191966"/>
    <w:pPr/>
    <w:rPr>
      <w:rFonts w:ascii="Arial" w:hAnsi="Arial" w:cs="Arial"/>
    </w:rPr>
  </w:style>
  <w:style w:type="paragraph" w:styleId="annotationsubject">
    <w:name w:val="annotation subject"/>
    <w:basedOn w:val="CommentText"/>
    <w:next w:val="CommentText"/>
    <w:link w:val="PedmtkomenteChar"/>
    <w:uiPriority w:val="99"/>
    <w:semiHidden/>
    <w:unhideWhenUsed/>
    <w:qFormat/>
    <w:rsid w:val="00e30bcc"/>
    <w:pPr/>
    <w:rPr>
      <w:b/>
      <w:bCs/>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AF95-EF14-4956-8E92-780177D7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LibreOffice/25.8.3.2$Windows_X86_64 LibreOffice_project/8ca8d55c161d602844f5428fa4b58097424e324e</Application>
  <AppVersion>15.0000</AppVersion>
  <Pages>2</Pages>
  <Words>473</Words>
  <Characters>2376</Characters>
  <CharactersWithSpaces>2897</CharactersWithSpaces>
  <Paragraphs>34</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2025-11-19T08:56:00Z</dcterms:created>
  <dc:creator>DA210036</dc:creator>
  <dc:description/>
  <dc:language>cs-CZ</dc:language>
  <cp:lastModifiedBy/>
  <cp:lastPrinted>2025-12-10T08:20:06Z</cp:lastPrinted>
  <dcterms:modified xsi:type="dcterms:W3CDTF">2025-12-10T08:20:12Z</dcterms:modified>
  <cp:revision>6</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