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74" w:rsidRPr="001B12AC" w:rsidRDefault="009C32BE">
      <w:pPr>
        <w:pStyle w:val="Standard"/>
        <w:jc w:val="center"/>
        <w:rPr>
          <w:b/>
          <w:bCs/>
          <w:color w:val="000000" w:themeColor="text1"/>
        </w:rPr>
      </w:pPr>
      <w:r>
        <w:rPr>
          <w:b/>
          <w:bCs/>
        </w:rPr>
        <w:t xml:space="preserve">Nařízení Města Ždírec nad </w:t>
      </w:r>
      <w:r w:rsidRPr="001B12AC">
        <w:rPr>
          <w:b/>
          <w:bCs/>
          <w:color w:val="000000" w:themeColor="text1"/>
        </w:rPr>
        <w:t>Doubravou č. 1/201</w:t>
      </w:r>
      <w:r w:rsidR="00BB336B" w:rsidRPr="001B12AC">
        <w:rPr>
          <w:b/>
          <w:bCs/>
          <w:color w:val="000000" w:themeColor="text1"/>
        </w:rPr>
        <w:t>9</w:t>
      </w:r>
    </w:p>
    <w:p w:rsidR="004E5A74" w:rsidRDefault="009C32BE">
      <w:pPr>
        <w:pStyle w:val="Standard"/>
        <w:jc w:val="center"/>
        <w:rPr>
          <w:b/>
          <w:bCs/>
        </w:rPr>
      </w:pPr>
      <w:r>
        <w:rPr>
          <w:b/>
          <w:bCs/>
        </w:rPr>
        <w:t>o provádění zimní údržby místních komunikací na území města Ždírec nad Doubravou</w:t>
      </w:r>
    </w:p>
    <w:p w:rsidR="004E5A74" w:rsidRDefault="004E5A74">
      <w:pPr>
        <w:pStyle w:val="Standard"/>
      </w:pPr>
    </w:p>
    <w:p w:rsidR="004E5A74" w:rsidRDefault="009C32BE">
      <w:pPr>
        <w:pStyle w:val="Standard"/>
        <w:jc w:val="both"/>
      </w:pPr>
      <w:r>
        <w:tab/>
        <w:t xml:space="preserve">Rada města Ždírec nad Doubravou se na svém </w:t>
      </w:r>
      <w:r w:rsidRPr="001B12AC">
        <w:rPr>
          <w:color w:val="000000" w:themeColor="text1"/>
        </w:rPr>
        <w:t xml:space="preserve">zasedání dne </w:t>
      </w:r>
      <w:r w:rsidR="00BB336B" w:rsidRPr="001B12AC">
        <w:rPr>
          <w:color w:val="000000" w:themeColor="text1"/>
        </w:rPr>
        <w:t>25</w:t>
      </w:r>
      <w:r w:rsidRPr="001B12AC">
        <w:rPr>
          <w:color w:val="000000" w:themeColor="text1"/>
        </w:rPr>
        <w:t>.</w:t>
      </w:r>
      <w:r w:rsidR="006916E4" w:rsidRPr="001B12AC">
        <w:rPr>
          <w:color w:val="000000" w:themeColor="text1"/>
        </w:rPr>
        <w:t xml:space="preserve"> </w:t>
      </w:r>
      <w:r w:rsidR="00BB336B" w:rsidRPr="001B12AC">
        <w:rPr>
          <w:color w:val="000000" w:themeColor="text1"/>
        </w:rPr>
        <w:t>září</w:t>
      </w:r>
      <w:r w:rsidRPr="001B12AC">
        <w:rPr>
          <w:color w:val="000000" w:themeColor="text1"/>
        </w:rPr>
        <w:t xml:space="preserve">  201</w:t>
      </w:r>
      <w:r w:rsidR="00BB336B" w:rsidRPr="001B12AC">
        <w:rPr>
          <w:color w:val="000000" w:themeColor="text1"/>
        </w:rPr>
        <w:t>9</w:t>
      </w:r>
      <w:r w:rsidRPr="001B12AC">
        <w:rPr>
          <w:color w:val="000000" w:themeColor="text1"/>
        </w:rPr>
        <w:t xml:space="preserve">  </w:t>
      </w:r>
      <w:r>
        <w:t>usnesla vydat na základě § 27 odst. 6) a odst. 7) zákona č. 13/1997 Sb., o pozemních komunikacích, ve znění pozdějších předpisů, a v souladu s § 11 odst. 1 zákona č. 128/2000 Sb., o obcích (obecní zřízení), ve znění zákona č. 313/2002 Sb. a § 102 odst. 2 písm. d) zákona č. 128/2000 Sb., o obcích (obecní zřízení), toto nařízení:</w:t>
      </w:r>
    </w:p>
    <w:p w:rsidR="004E5A74" w:rsidRDefault="004E5A74">
      <w:pPr>
        <w:pStyle w:val="Standard"/>
      </w:pPr>
    </w:p>
    <w:p w:rsidR="004E5A74" w:rsidRDefault="009C32BE">
      <w:pPr>
        <w:pStyle w:val="Standard"/>
        <w:jc w:val="center"/>
        <w:rPr>
          <w:b/>
          <w:bCs/>
        </w:rPr>
      </w:pPr>
      <w:r>
        <w:rPr>
          <w:b/>
          <w:bCs/>
        </w:rPr>
        <w:t>Článek 1</w:t>
      </w:r>
    </w:p>
    <w:p w:rsidR="004E5A74" w:rsidRDefault="009C32BE">
      <w:pPr>
        <w:pStyle w:val="Standard"/>
        <w:jc w:val="center"/>
        <w:rPr>
          <w:b/>
          <w:bCs/>
        </w:rPr>
      </w:pPr>
      <w:r>
        <w:rPr>
          <w:b/>
          <w:bCs/>
        </w:rPr>
        <w:t>Předmět úpravy</w:t>
      </w:r>
    </w:p>
    <w:p w:rsidR="004E5A74" w:rsidRDefault="004E5A74">
      <w:pPr>
        <w:pStyle w:val="Standard"/>
        <w:rPr>
          <w:sz w:val="12"/>
          <w:szCs w:val="12"/>
        </w:rPr>
      </w:pPr>
    </w:p>
    <w:p w:rsidR="004E5A74" w:rsidRDefault="009C32BE">
      <w:pPr>
        <w:pStyle w:val="Standard"/>
        <w:jc w:val="both"/>
      </w:pPr>
      <w:r>
        <w:tab/>
        <w:t>Tímto nařízením se stanoví rozsah, způsob a  časové lhůty odstraňování závad ve sjízdnosti a schůdnosti místních komunikací v obci.</w:t>
      </w:r>
    </w:p>
    <w:p w:rsidR="004E5A74" w:rsidRDefault="004E5A74">
      <w:pPr>
        <w:pStyle w:val="Standard"/>
        <w:jc w:val="center"/>
        <w:rPr>
          <w:b/>
          <w:bCs/>
        </w:rPr>
      </w:pPr>
    </w:p>
    <w:p w:rsidR="004E5A74" w:rsidRDefault="009C32BE">
      <w:pPr>
        <w:pStyle w:val="Standard"/>
        <w:jc w:val="center"/>
        <w:rPr>
          <w:b/>
          <w:bCs/>
        </w:rPr>
      </w:pPr>
      <w:r>
        <w:rPr>
          <w:b/>
          <w:bCs/>
        </w:rPr>
        <w:t>Článek 2</w:t>
      </w:r>
    </w:p>
    <w:p w:rsidR="004E5A74" w:rsidRDefault="009C32BE">
      <w:pPr>
        <w:pStyle w:val="Standard"/>
        <w:jc w:val="center"/>
        <w:rPr>
          <w:b/>
          <w:bCs/>
        </w:rPr>
      </w:pPr>
      <w:r>
        <w:rPr>
          <w:b/>
          <w:bCs/>
        </w:rPr>
        <w:t>Rozdělení komunikací podle pořadí důležitosti a dopravního významu</w:t>
      </w:r>
    </w:p>
    <w:p w:rsidR="004E5A74" w:rsidRDefault="004E5A74">
      <w:pPr>
        <w:pStyle w:val="Standard"/>
        <w:rPr>
          <w:sz w:val="12"/>
          <w:szCs w:val="12"/>
        </w:rPr>
      </w:pPr>
    </w:p>
    <w:p w:rsidR="004E5A74" w:rsidRDefault="009C32BE">
      <w:pPr>
        <w:pStyle w:val="Standard"/>
        <w:numPr>
          <w:ilvl w:val="0"/>
          <w:numId w:val="1"/>
        </w:numPr>
        <w:jc w:val="both"/>
      </w:pPr>
      <w:r>
        <w:t>Místní komunikace I. až III. třídy</w:t>
      </w:r>
      <w:r>
        <w:rPr>
          <w:rStyle w:val="Znakapoznpodarou"/>
        </w:rPr>
        <w:footnoteReference w:id="1"/>
      </w:r>
      <w:r>
        <w:t xml:space="preserve"> - přístupné běžnému provozu silničních motorových vozidel (tzv. motoristické), se podle pořadí důležitosti a podle dopravního významu pro účely zpracování plánu zimní údržby, zejména pro zabezpečení způsobu a časových lhůt odstraňování  závad ve sjízdnosti rozdělují do I. až III. pořadí.</w:t>
      </w:r>
    </w:p>
    <w:p w:rsidR="004E5A74" w:rsidRDefault="009C32BE">
      <w:pPr>
        <w:pStyle w:val="Standard"/>
        <w:numPr>
          <w:ilvl w:val="0"/>
          <w:numId w:val="1"/>
        </w:numPr>
        <w:jc w:val="both"/>
      </w:pPr>
      <w:r>
        <w:t xml:space="preserve">Místní komunikace IV. třídy -  nepřístupné běžnému provozu silničních motorových vozidel, tzv. nemotoristické, (dále jen chodníky).  </w:t>
      </w:r>
    </w:p>
    <w:p w:rsidR="004E5A74" w:rsidRDefault="009C32BE">
      <w:pPr>
        <w:pStyle w:val="Standard"/>
      </w:pPr>
      <w:r>
        <w:t xml:space="preserve"> </w:t>
      </w:r>
    </w:p>
    <w:p w:rsidR="004E5A74" w:rsidRDefault="009C32BE">
      <w:pPr>
        <w:pStyle w:val="Standard"/>
        <w:jc w:val="center"/>
        <w:rPr>
          <w:b/>
          <w:bCs/>
        </w:rPr>
      </w:pPr>
      <w:r>
        <w:rPr>
          <w:b/>
          <w:bCs/>
        </w:rPr>
        <w:t>Článek 3</w:t>
      </w:r>
    </w:p>
    <w:p w:rsidR="004E5A74" w:rsidRDefault="009C32BE">
      <w:pPr>
        <w:pStyle w:val="Standard"/>
        <w:jc w:val="center"/>
        <w:rPr>
          <w:b/>
          <w:bCs/>
        </w:rPr>
      </w:pPr>
      <w:r>
        <w:rPr>
          <w:b/>
          <w:bCs/>
        </w:rPr>
        <w:t>Rozsah, způsob a lhůty odstraňování závad ve sjízdnosti a schůdnosti komunikací</w:t>
      </w:r>
    </w:p>
    <w:p w:rsidR="004E5A74" w:rsidRDefault="004E5A74">
      <w:pPr>
        <w:pStyle w:val="Standard"/>
        <w:jc w:val="both"/>
        <w:rPr>
          <w:sz w:val="12"/>
          <w:szCs w:val="12"/>
        </w:rPr>
      </w:pPr>
    </w:p>
    <w:p w:rsidR="004E5A74" w:rsidRDefault="009C32BE">
      <w:pPr>
        <w:pStyle w:val="Standard"/>
        <w:numPr>
          <w:ilvl w:val="0"/>
          <w:numId w:val="2"/>
        </w:numPr>
        <w:jc w:val="both"/>
      </w:pPr>
      <w:r>
        <w:t>Sjízdnost a schůdnost na vybraných místních komunikacích včetně jejich součástí, kterými jsou veřejná parkoviště a přechody pro chodce</w:t>
      </w:r>
      <w:r w:rsidR="001B12AC">
        <w:t>,</w:t>
      </w:r>
      <w:r>
        <w:t xml:space="preserve"> je zajišťována na celém území města Ždírec nad Doubravou.</w:t>
      </w:r>
    </w:p>
    <w:p w:rsidR="004E5A74" w:rsidRDefault="009C32BE">
      <w:pPr>
        <w:pStyle w:val="Standard"/>
        <w:numPr>
          <w:ilvl w:val="0"/>
          <w:numId w:val="2"/>
        </w:numPr>
        <w:jc w:val="both"/>
      </w:pPr>
      <w:r>
        <w:t>Odstranění nebo zmírnění závad musí zajišťovat, není-li dále uvedeno jinak, vlastník komunikace, pokud neprokáže, že nebylo v mezích jeho možností sjízdnost a schůdnost zajistit.</w:t>
      </w:r>
    </w:p>
    <w:p w:rsidR="004E5A74" w:rsidRDefault="009C32BE">
      <w:pPr>
        <w:pStyle w:val="Standard"/>
        <w:numPr>
          <w:ilvl w:val="0"/>
          <w:numId w:val="2"/>
        </w:numPr>
        <w:jc w:val="both"/>
      </w:pPr>
      <w:r>
        <w:t xml:space="preserve">Sjízdnost a schůdnost se zajišťuje plužením, odmetením nebo odhrnutím sněhu, oškrábáním zmrazků a posypem </w:t>
      </w:r>
      <w:proofErr w:type="spellStart"/>
      <w:r>
        <w:t>zdrsňovacími</w:t>
      </w:r>
      <w:proofErr w:type="spellEnd"/>
      <w:r>
        <w:t xml:space="preserve"> materiály.</w:t>
      </w:r>
    </w:p>
    <w:p w:rsidR="004E5A74" w:rsidRDefault="009C32BE">
      <w:pPr>
        <w:pStyle w:val="Standard"/>
        <w:numPr>
          <w:ilvl w:val="0"/>
          <w:numId w:val="2"/>
        </w:numPr>
        <w:jc w:val="both"/>
      </w:pPr>
      <w:r>
        <w:t>Chemickým rozmrazovacím materiálem se smějí sypat pouze ty komunikace pro pěší, které jsou odděleny od zelených ploch a pásů pro stromy takovým způsobem, aby na ně nemohl stékat slaný roztok. Výjimkou jsou kalamitní situace, kdy na komunikacích pro pěší vznikne vrstva zledovatělého sněhu nebo vznikne vrstva náledí vlivem namrzajících srážek.</w:t>
      </w:r>
    </w:p>
    <w:p w:rsidR="004E5A74" w:rsidRDefault="009C32BE">
      <w:pPr>
        <w:pStyle w:val="Standard"/>
        <w:numPr>
          <w:ilvl w:val="0"/>
          <w:numId w:val="2"/>
        </w:numPr>
        <w:jc w:val="both"/>
      </w:pPr>
      <w:r>
        <w:t xml:space="preserve">Jako </w:t>
      </w:r>
      <w:proofErr w:type="spellStart"/>
      <w:r>
        <w:t>zdrsňovací</w:t>
      </w:r>
      <w:proofErr w:type="spellEnd"/>
      <w:r>
        <w:t xml:space="preserve"> materiály se používají především písky, drtě a piliny. Jako chemické rozmrazovací materiály se používají především sůl kamenná, sůl kuchyňská, sůl posypová nebo jiné, k tomuto účelu schválené chemické rozmrazovací prostředky. Chemické rozmrazovací materiály se používají při teplotách do - 5 °C a pokud výška sněhu nebo ledu nepřesahuje 3 cm, jinak jsou neúčinné. Vrstva břečky vzniklá po použití chemických rozmrazovacích prostředků se následně z povrchu komunikace mechanicky odstraní (odhrne nebo odmete).  Při odstraňování závad ve sjízdnosti a schůdnosti místních komunikací se použije přiměřeně technologie stanovená v příloze č.</w:t>
      </w:r>
      <w:r w:rsidR="001B12AC">
        <w:t xml:space="preserve"> </w:t>
      </w:r>
      <w:r>
        <w:t>7  vyhlášky Ministerstva dopravy a spojů ČR č.104/1997 Sb., kterou se provádí zákon o pozemních komunikacích.</w:t>
      </w:r>
    </w:p>
    <w:p w:rsidR="004E5A74" w:rsidRDefault="009C32BE">
      <w:pPr>
        <w:pStyle w:val="Standard"/>
        <w:numPr>
          <w:ilvl w:val="0"/>
          <w:numId w:val="2"/>
        </w:numPr>
        <w:jc w:val="both"/>
      </w:pPr>
      <w:r>
        <w:t xml:space="preserve">Schůdnost chodníků se zajišťuje v celé jejich délce a v šířce minimálně 80 cm.  V případě, že vrstva napadlého sněhu je vyšší než 15 cm, v případě souvislých námraz, oblevy, mrznoucího </w:t>
      </w:r>
      <w:r>
        <w:lastRenderedPageBreak/>
        <w:t>deště a jiné obdobné povětrnostní situace se udržují chodníky pouze v šíři nezbytně nutné.</w:t>
      </w:r>
    </w:p>
    <w:p w:rsidR="004E5A74" w:rsidRDefault="009C32BE">
      <w:pPr>
        <w:pStyle w:val="Standard"/>
        <w:numPr>
          <w:ilvl w:val="0"/>
          <w:numId w:val="2"/>
        </w:numPr>
        <w:jc w:val="both"/>
      </w:pPr>
      <w:r>
        <w:t>Způsob a lhůty odstraňování závad ve sjízdnosti a schůdnosti místních komunikací jsou uvedeny v příloze č. 2 tohoto nařízení.</w:t>
      </w:r>
    </w:p>
    <w:p w:rsidR="004E5A74" w:rsidRDefault="009C32BE">
      <w:pPr>
        <w:pStyle w:val="Standard"/>
        <w:numPr>
          <w:ilvl w:val="0"/>
          <w:numId w:val="2"/>
        </w:numPr>
        <w:jc w:val="both"/>
      </w:pPr>
      <w:r>
        <w:t>Za škody, jejichž příčinou byla závada ve schůdnosti na přilehlém chodníku, která vznikla znečištěním, náledím nebo sněhem odpovídají vlastníci těchto komunikací, pokud neprokáží, že nebylo v mezích jejich možností tuto závadu odstranit; u závady způsobené povětrnostními situacemi a jejich důsledky musí takovou závadu zmírnit</w:t>
      </w:r>
      <w:r>
        <w:rPr>
          <w:rStyle w:val="Znakapoznpodarou"/>
        </w:rPr>
        <w:footnoteReference w:id="2"/>
      </w:r>
      <w:r>
        <w:t>.</w:t>
      </w:r>
    </w:p>
    <w:p w:rsidR="004E5A74" w:rsidRDefault="004E5A74">
      <w:pPr>
        <w:pStyle w:val="Standard"/>
        <w:jc w:val="center"/>
        <w:rPr>
          <w:b/>
          <w:bCs/>
        </w:rPr>
      </w:pPr>
    </w:p>
    <w:p w:rsidR="004E5A74" w:rsidRDefault="009C32BE">
      <w:pPr>
        <w:pStyle w:val="Standard"/>
        <w:jc w:val="center"/>
        <w:rPr>
          <w:b/>
          <w:bCs/>
        </w:rPr>
      </w:pPr>
      <w:r>
        <w:rPr>
          <w:b/>
          <w:bCs/>
        </w:rPr>
        <w:t>Článek 4</w:t>
      </w:r>
    </w:p>
    <w:p w:rsidR="004E5A74" w:rsidRDefault="009C32BE">
      <w:pPr>
        <w:pStyle w:val="Standard"/>
        <w:jc w:val="center"/>
        <w:rPr>
          <w:b/>
          <w:bCs/>
        </w:rPr>
      </w:pPr>
      <w:r>
        <w:rPr>
          <w:b/>
          <w:bCs/>
        </w:rPr>
        <w:t>Lhůty pro odstraňování závad ve sjízdnosti a schůdnosti místních komunikací</w:t>
      </w:r>
    </w:p>
    <w:p w:rsidR="004E5A74" w:rsidRDefault="004E5A74">
      <w:pPr>
        <w:pStyle w:val="Standard"/>
        <w:jc w:val="both"/>
        <w:rPr>
          <w:sz w:val="12"/>
          <w:szCs w:val="12"/>
        </w:rPr>
      </w:pPr>
    </w:p>
    <w:p w:rsidR="004E5A74" w:rsidRDefault="009C32BE">
      <w:pPr>
        <w:pStyle w:val="Standard"/>
        <w:numPr>
          <w:ilvl w:val="0"/>
          <w:numId w:val="3"/>
        </w:numPr>
        <w:jc w:val="both"/>
      </w:pPr>
      <w:r>
        <w:t>Doba od zjištění závady ve sjízdnosti a schůdnosti místních komunikací do doby zahájení prací na zmírnění této závady nesmí být v zimním období delší než 60 minut.</w:t>
      </w:r>
    </w:p>
    <w:p w:rsidR="004E5A74" w:rsidRDefault="009C32BE">
      <w:pPr>
        <w:pStyle w:val="Standard"/>
        <w:numPr>
          <w:ilvl w:val="0"/>
          <w:numId w:val="3"/>
        </w:numPr>
        <w:jc w:val="both"/>
      </w:pPr>
      <w:r>
        <w:t>Zimním obdobím je, pro účely tohoto nařízení, doba od 1. listopadu do 31. března následujícího roku</w:t>
      </w:r>
      <w:r>
        <w:rPr>
          <w:rStyle w:val="Znakapoznpodarou"/>
        </w:rPr>
        <w:footnoteReference w:id="3"/>
      </w:r>
      <w:r>
        <w:t>.</w:t>
      </w:r>
    </w:p>
    <w:p w:rsidR="004E5A74" w:rsidRDefault="009C32BE">
      <w:pPr>
        <w:pStyle w:val="Standard"/>
        <w:numPr>
          <w:ilvl w:val="0"/>
          <w:numId w:val="3"/>
        </w:numPr>
        <w:jc w:val="both"/>
      </w:pPr>
      <w:r>
        <w:t>Pokud vznikne závada  ve sjízdnosti a schůdnosti místních komunikací mimo zimní období, zmírňují se závady bez zbytečných odkladů přiměřeně ke vzniklé situaci.</w:t>
      </w:r>
    </w:p>
    <w:p w:rsidR="004E5A74" w:rsidRDefault="009C32BE">
      <w:pPr>
        <w:pStyle w:val="Standard"/>
        <w:numPr>
          <w:ilvl w:val="0"/>
          <w:numId w:val="3"/>
        </w:numPr>
        <w:jc w:val="both"/>
      </w:pPr>
      <w:r>
        <w:t>V době od 23:00 do 03:00 se zimní údržba neprovádí. Toto omezení neplatí po dobu vyhlášení kalamitního stavu.</w:t>
      </w:r>
    </w:p>
    <w:p w:rsidR="004E5A74" w:rsidRDefault="004E5A74">
      <w:pPr>
        <w:pStyle w:val="Standard"/>
        <w:jc w:val="both"/>
        <w:rPr>
          <w:b/>
          <w:bCs/>
        </w:rPr>
      </w:pPr>
    </w:p>
    <w:p w:rsidR="004E5A74" w:rsidRDefault="009C32BE">
      <w:pPr>
        <w:pStyle w:val="Standard"/>
        <w:jc w:val="center"/>
        <w:rPr>
          <w:b/>
          <w:bCs/>
        </w:rPr>
      </w:pPr>
      <w:r>
        <w:rPr>
          <w:b/>
          <w:bCs/>
        </w:rPr>
        <w:t>Článek 5</w:t>
      </w:r>
    </w:p>
    <w:p w:rsidR="004E5A74" w:rsidRDefault="009C32BE">
      <w:pPr>
        <w:pStyle w:val="Standard"/>
        <w:jc w:val="center"/>
        <w:rPr>
          <w:b/>
          <w:bCs/>
        </w:rPr>
      </w:pPr>
      <w:r>
        <w:rPr>
          <w:b/>
          <w:bCs/>
        </w:rPr>
        <w:t>Ustanovení  závěrečná a zrušovací</w:t>
      </w:r>
    </w:p>
    <w:p w:rsidR="004E5A74" w:rsidRDefault="004E5A74">
      <w:pPr>
        <w:pStyle w:val="Standard"/>
        <w:jc w:val="both"/>
        <w:rPr>
          <w:sz w:val="12"/>
          <w:szCs w:val="12"/>
        </w:rPr>
      </w:pPr>
    </w:p>
    <w:p w:rsidR="004E5A74" w:rsidRDefault="009C32BE">
      <w:pPr>
        <w:pStyle w:val="Standard"/>
        <w:numPr>
          <w:ilvl w:val="0"/>
          <w:numId w:val="4"/>
        </w:numPr>
        <w:jc w:val="both"/>
      </w:pPr>
      <w:r>
        <w:t>Porušení ustanovení tohoto nařízení bude posuzováno a postihováno jako přestupek, resp. jako správní delikt podle zvláštních předpisů</w:t>
      </w:r>
      <w:r>
        <w:rPr>
          <w:rStyle w:val="Znakapoznpodarou"/>
        </w:rPr>
        <w:footnoteReference w:id="4"/>
      </w:r>
      <w:r>
        <w:t>.</w:t>
      </w:r>
    </w:p>
    <w:p w:rsidR="004E5A74" w:rsidRDefault="009C32BE">
      <w:pPr>
        <w:pStyle w:val="Standard"/>
        <w:numPr>
          <w:ilvl w:val="0"/>
          <w:numId w:val="4"/>
        </w:numPr>
        <w:jc w:val="both"/>
      </w:pPr>
      <w:r>
        <w:t>Tímto nařízením nejsou dotčeny nároky osob z titulu náhrady škody podle občanského práva.</w:t>
      </w:r>
    </w:p>
    <w:p w:rsidR="004E5A74" w:rsidRDefault="009C32BE">
      <w:pPr>
        <w:pStyle w:val="Standard"/>
        <w:numPr>
          <w:ilvl w:val="0"/>
          <w:numId w:val="4"/>
        </w:numPr>
        <w:jc w:val="both"/>
      </w:pPr>
      <w:r>
        <w:t>Zrušuje se nařízení města č</w:t>
      </w:r>
      <w:r w:rsidRPr="001B12AC">
        <w:rPr>
          <w:color w:val="000000" w:themeColor="text1"/>
        </w:rPr>
        <w:t>.</w:t>
      </w:r>
      <w:r w:rsidR="00CA110A" w:rsidRPr="001B12AC">
        <w:rPr>
          <w:color w:val="000000" w:themeColor="text1"/>
        </w:rPr>
        <w:t xml:space="preserve"> 1/2010</w:t>
      </w:r>
      <w:r w:rsidRPr="001B12AC">
        <w:rPr>
          <w:color w:val="000000" w:themeColor="text1"/>
        </w:rPr>
        <w:t xml:space="preserve"> </w:t>
      </w:r>
      <w:r>
        <w:t>o provádění zimní údržby místních komunikací na území města Ždírec nad Doubravou.</w:t>
      </w:r>
    </w:p>
    <w:p w:rsidR="004E5A74" w:rsidRDefault="004E5A74">
      <w:pPr>
        <w:pStyle w:val="Standard"/>
      </w:pPr>
    </w:p>
    <w:p w:rsidR="004E5A74" w:rsidRDefault="009C32BE">
      <w:pPr>
        <w:pStyle w:val="Standard"/>
        <w:jc w:val="center"/>
        <w:rPr>
          <w:b/>
          <w:bCs/>
        </w:rPr>
      </w:pPr>
      <w:r>
        <w:rPr>
          <w:b/>
          <w:bCs/>
        </w:rPr>
        <w:t>Článek 6</w:t>
      </w:r>
    </w:p>
    <w:p w:rsidR="004E5A74" w:rsidRDefault="009C32BE">
      <w:pPr>
        <w:pStyle w:val="Standard"/>
        <w:jc w:val="center"/>
        <w:rPr>
          <w:b/>
          <w:bCs/>
        </w:rPr>
      </w:pPr>
      <w:r>
        <w:rPr>
          <w:b/>
          <w:bCs/>
        </w:rPr>
        <w:t>Účinnost</w:t>
      </w:r>
    </w:p>
    <w:p w:rsidR="004E5A74" w:rsidRDefault="004E5A74">
      <w:pPr>
        <w:pStyle w:val="Standard"/>
        <w:rPr>
          <w:sz w:val="12"/>
          <w:szCs w:val="12"/>
        </w:rPr>
      </w:pPr>
    </w:p>
    <w:p w:rsidR="004E5A74" w:rsidRDefault="009C32BE">
      <w:pPr>
        <w:pStyle w:val="Standard"/>
      </w:pPr>
      <w:r>
        <w:tab/>
        <w:t>Toto nařízení nabývá účinnosti dnem zveřejnění na úřední desce města.</w:t>
      </w:r>
    </w:p>
    <w:p w:rsidR="004E5A74" w:rsidRDefault="004E5A74">
      <w:pPr>
        <w:pStyle w:val="Standard"/>
      </w:pPr>
    </w:p>
    <w:p w:rsidR="004E5A74" w:rsidRDefault="004E5A74">
      <w:pPr>
        <w:pStyle w:val="Standard"/>
      </w:pPr>
    </w:p>
    <w:p w:rsidR="004E5A74" w:rsidRDefault="004E5A74">
      <w:pPr>
        <w:pStyle w:val="Standard"/>
      </w:pPr>
    </w:p>
    <w:p w:rsidR="004E5A74" w:rsidRDefault="004E5A74">
      <w:pPr>
        <w:pStyle w:val="Standard"/>
      </w:pPr>
    </w:p>
    <w:tbl>
      <w:tblPr>
        <w:tblW w:w="9637" w:type="dxa"/>
        <w:tblLayout w:type="fixed"/>
        <w:tblCellMar>
          <w:left w:w="10" w:type="dxa"/>
          <w:right w:w="10" w:type="dxa"/>
        </w:tblCellMar>
        <w:tblLook w:val="0000" w:firstRow="0" w:lastRow="0" w:firstColumn="0" w:lastColumn="0" w:noHBand="0" w:noVBand="0"/>
      </w:tblPr>
      <w:tblGrid>
        <w:gridCol w:w="4818"/>
        <w:gridCol w:w="4819"/>
      </w:tblGrid>
      <w:tr w:rsidR="004E5A74">
        <w:tc>
          <w:tcPr>
            <w:tcW w:w="4818" w:type="dxa"/>
          </w:tcPr>
          <w:p w:rsidR="004E5A74" w:rsidRDefault="009C32BE">
            <w:pPr>
              <w:pStyle w:val="Standard"/>
              <w:jc w:val="center"/>
            </w:pPr>
            <w:r>
              <w:t>…......….........................................</w:t>
            </w:r>
          </w:p>
          <w:p w:rsidR="004E5A74" w:rsidRDefault="009C32BE">
            <w:pPr>
              <w:pStyle w:val="Standard"/>
              <w:jc w:val="center"/>
            </w:pPr>
            <w:r w:rsidRPr="009C32BE">
              <w:t>Ing. Bohum</w:t>
            </w:r>
            <w:r w:rsidRPr="009C32BE">
              <w:rPr>
                <w:rFonts w:hint="eastAsia"/>
              </w:rPr>
              <w:t>í</w:t>
            </w:r>
            <w:r w:rsidRPr="009C32BE">
              <w:t>r Nikl</w:t>
            </w:r>
            <w:r>
              <w:t>, starosta</w:t>
            </w:r>
            <w:r>
              <w:tab/>
            </w:r>
          </w:p>
        </w:tc>
        <w:tc>
          <w:tcPr>
            <w:tcW w:w="4819" w:type="dxa"/>
          </w:tcPr>
          <w:p w:rsidR="004E5A74" w:rsidRDefault="009C32BE" w:rsidP="009C32BE">
            <w:pPr>
              <w:pStyle w:val="Standard"/>
              <w:jc w:val="center"/>
            </w:pPr>
            <w:r>
              <w:t>…......….........................................</w:t>
            </w:r>
            <w:r>
              <w:br/>
              <w:t>Ing. František Němec, místostarosta</w:t>
            </w:r>
          </w:p>
        </w:tc>
      </w:tr>
    </w:tbl>
    <w:p w:rsidR="004E5A74" w:rsidRDefault="004E5A74">
      <w:pPr>
        <w:pStyle w:val="Standard"/>
      </w:pPr>
    </w:p>
    <w:p w:rsidR="004E5A74" w:rsidRDefault="004E5A74">
      <w:pPr>
        <w:pStyle w:val="Standard"/>
      </w:pPr>
    </w:p>
    <w:p w:rsidR="004E5A74" w:rsidRDefault="004E5A74">
      <w:pPr>
        <w:pStyle w:val="Standard"/>
      </w:pPr>
    </w:p>
    <w:p w:rsidR="004E5A74" w:rsidRDefault="004E5A74">
      <w:pPr>
        <w:pStyle w:val="Standard"/>
      </w:pPr>
    </w:p>
    <w:p w:rsidR="004E5A74" w:rsidRDefault="009C32BE">
      <w:pPr>
        <w:pStyle w:val="Standard"/>
      </w:pPr>
      <w:r>
        <w:t>Vyvěšeno na úřední desce dne: ……………….</w:t>
      </w:r>
    </w:p>
    <w:p w:rsidR="004E5A74" w:rsidRDefault="004E5A74">
      <w:pPr>
        <w:pStyle w:val="Standard"/>
      </w:pPr>
    </w:p>
    <w:p w:rsidR="004E5A74" w:rsidRDefault="00CA110A">
      <w:pPr>
        <w:pStyle w:val="Standard"/>
      </w:pPr>
      <w:r>
        <w:t>Sejmuto z úřední desky dne</w:t>
      </w:r>
      <w:r w:rsidR="009C32BE">
        <w:t>: …………</w:t>
      </w:r>
      <w:r>
        <w:t>…..</w:t>
      </w:r>
    </w:p>
    <w:p w:rsidR="004E5A74" w:rsidRDefault="004E5A74">
      <w:pPr>
        <w:pStyle w:val="Standard"/>
      </w:pPr>
    </w:p>
    <w:p w:rsidR="004E5A74" w:rsidRDefault="004E5A74">
      <w:pPr>
        <w:pStyle w:val="Standard"/>
      </w:pPr>
    </w:p>
    <w:p w:rsidR="004E5A74" w:rsidRDefault="004E5A74">
      <w:pPr>
        <w:pStyle w:val="Standard"/>
      </w:pPr>
    </w:p>
    <w:p w:rsidR="004E5A74" w:rsidRDefault="009C32BE">
      <w:pPr>
        <w:pStyle w:val="Standard"/>
        <w:rPr>
          <w:b/>
          <w:bCs/>
        </w:rPr>
      </w:pPr>
      <w:r>
        <w:rPr>
          <w:b/>
          <w:bCs/>
        </w:rPr>
        <w:t>Příloha č. 1 k nařízení č. 1/201</w:t>
      </w:r>
      <w:r w:rsidR="00CA110A">
        <w:rPr>
          <w:b/>
          <w:bCs/>
        </w:rPr>
        <w:t>9</w:t>
      </w:r>
    </w:p>
    <w:p w:rsidR="004E5A74" w:rsidRDefault="004E5A74">
      <w:pPr>
        <w:pStyle w:val="Standard"/>
      </w:pPr>
    </w:p>
    <w:p w:rsidR="004E5A74" w:rsidRDefault="009C32BE">
      <w:pPr>
        <w:pStyle w:val="Standard"/>
      </w:pPr>
      <w:r>
        <w:t>Rozdělení místních komunikací podle pořadí důležitosti a dopravního významu zimní údržby:</w:t>
      </w:r>
    </w:p>
    <w:p w:rsidR="004E5A74" w:rsidRDefault="004E5A74">
      <w:pPr>
        <w:pStyle w:val="Standard"/>
      </w:pPr>
    </w:p>
    <w:tbl>
      <w:tblPr>
        <w:tblW w:w="9637" w:type="dxa"/>
        <w:tblLayout w:type="fixed"/>
        <w:tblCellMar>
          <w:left w:w="10" w:type="dxa"/>
          <w:right w:w="10" w:type="dxa"/>
        </w:tblCellMar>
        <w:tblLook w:val="0000" w:firstRow="0" w:lastRow="0" w:firstColumn="0" w:lastColumn="0" w:noHBand="0" w:noVBand="0"/>
      </w:tblPr>
      <w:tblGrid>
        <w:gridCol w:w="4365"/>
        <w:gridCol w:w="5272"/>
      </w:tblGrid>
      <w:tr w:rsidR="004E5A74">
        <w:tc>
          <w:tcPr>
            <w:tcW w:w="4365" w:type="dxa"/>
            <w:tcBorders>
              <w:top w:val="single" w:sz="2" w:space="0" w:color="000000"/>
              <w:left w:val="single" w:sz="2" w:space="0" w:color="000000"/>
              <w:bottom w:val="single" w:sz="2" w:space="0" w:color="000000"/>
            </w:tcBorders>
            <w:tcMar>
              <w:top w:w="55" w:type="dxa"/>
              <w:left w:w="55" w:type="dxa"/>
              <w:bottom w:w="55" w:type="dxa"/>
              <w:right w:w="55" w:type="dxa"/>
            </w:tcMar>
          </w:tcPr>
          <w:p w:rsidR="004E5A74" w:rsidRDefault="009C32BE">
            <w:pPr>
              <w:pStyle w:val="TableContents"/>
            </w:pPr>
            <w:r>
              <w:t>Pořadí důležitosti motoristické komunikace</w:t>
            </w:r>
          </w:p>
        </w:tc>
        <w:tc>
          <w:tcPr>
            <w:tcW w:w="52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TableContents"/>
            </w:pPr>
            <w:r>
              <w:t>Zařazené komunikace a jejich části</w:t>
            </w:r>
          </w:p>
        </w:tc>
      </w:tr>
      <w:tr w:rsidR="004E5A74">
        <w:tc>
          <w:tcPr>
            <w:tcW w:w="436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TableContents"/>
            </w:pPr>
            <w:r>
              <w:t>I. pořadí důležitosti</w:t>
            </w:r>
          </w:p>
          <w:p w:rsidR="004E5A74" w:rsidRDefault="004E5A74">
            <w:pPr>
              <w:pStyle w:val="TableContents"/>
            </w:pPr>
          </w:p>
          <w:p w:rsidR="004E5A74" w:rsidRDefault="009C32BE">
            <w:pPr>
              <w:pStyle w:val="TableContents"/>
            </w:pPr>
            <w:r>
              <w:t>sběrné místní komunikace, průjezdní úseky silnic, příjezdové místní komunikace ke zdravotnickým zařízením a další významné místní komunikace, chodníky podél těchto komunikací</w:t>
            </w:r>
          </w:p>
        </w:tc>
        <w:tc>
          <w:tcPr>
            <w:tcW w:w="52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Pr="001B12AC" w:rsidRDefault="009C32BE">
            <w:pPr>
              <w:pStyle w:val="TableContents"/>
              <w:numPr>
                <w:ilvl w:val="0"/>
                <w:numId w:val="5"/>
              </w:numPr>
              <w:rPr>
                <w:color w:val="000000" w:themeColor="text1"/>
              </w:rPr>
            </w:pPr>
            <w:r>
              <w:t>ulice v místní části Ždírec n.</w:t>
            </w:r>
            <w:r w:rsidR="00CA110A">
              <w:t xml:space="preserve"> </w:t>
            </w:r>
            <w:r>
              <w:t>D. - Nádražní, Průmyslová, Družstevní, náměstí 9.</w:t>
            </w:r>
            <w:r w:rsidR="00CA110A">
              <w:t xml:space="preserve"> </w:t>
            </w:r>
            <w:r>
              <w:t xml:space="preserve">května, Školní, Spojovací, </w:t>
            </w:r>
            <w:r w:rsidR="00CA110A">
              <w:t xml:space="preserve">ul. </w:t>
            </w:r>
            <w:r>
              <w:t>5.</w:t>
            </w:r>
            <w:r w:rsidR="00CA110A">
              <w:t xml:space="preserve"> </w:t>
            </w:r>
            <w:r>
              <w:t xml:space="preserve">května, Na Rozcestí, Příčná, Mírová, Ke Stadionu, </w:t>
            </w:r>
            <w:bookmarkStart w:id="0" w:name="_GoBack"/>
            <w:bookmarkEnd w:id="0"/>
            <w:r>
              <w:t>Nad Řekou, Pilská, Jižní</w:t>
            </w:r>
            <w:r w:rsidR="004433BF">
              <w:t>,</w:t>
            </w:r>
            <w:r w:rsidR="00CA110A" w:rsidRPr="001B12AC">
              <w:rPr>
                <w:color w:val="000000" w:themeColor="text1"/>
              </w:rPr>
              <w:t xml:space="preserve"> </w:t>
            </w:r>
            <w:r w:rsidR="004433BF" w:rsidRPr="001B12AC">
              <w:rPr>
                <w:color w:val="000000" w:themeColor="text1"/>
              </w:rPr>
              <w:t>U Pikulky</w:t>
            </w:r>
          </w:p>
          <w:p w:rsidR="004E5A74" w:rsidRDefault="009C32BE">
            <w:pPr>
              <w:pStyle w:val="TableContents"/>
              <w:numPr>
                <w:ilvl w:val="0"/>
                <w:numId w:val="5"/>
              </w:numPr>
            </w:pPr>
            <w:r>
              <w:t>místní komunikace v místních částech obce Horní Studenec, Nový Studenec, Nové Ransko, Benátky, Kohoutov, Údavy, Stružinec, které slouží převážné části obyvatel místních částí</w:t>
            </w:r>
          </w:p>
          <w:p w:rsidR="004E5A74" w:rsidRDefault="009C32BE">
            <w:pPr>
              <w:pStyle w:val="TableContents"/>
              <w:numPr>
                <w:ilvl w:val="0"/>
                <w:numId w:val="5"/>
              </w:numPr>
            </w:pPr>
            <w:r>
              <w:t>chodníky a přechody pro chodce v místní části Ždírec n.</w:t>
            </w:r>
            <w:r w:rsidR="00CA110A">
              <w:t xml:space="preserve"> </w:t>
            </w:r>
            <w:r>
              <w:t>D.</w:t>
            </w:r>
          </w:p>
        </w:tc>
      </w:tr>
      <w:tr w:rsidR="004E5A74">
        <w:tc>
          <w:tcPr>
            <w:tcW w:w="436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TableContents"/>
            </w:pPr>
            <w:r>
              <w:t>II. pořadí důležitosti</w:t>
            </w:r>
          </w:p>
          <w:p w:rsidR="004E5A74" w:rsidRDefault="004E5A74">
            <w:pPr>
              <w:pStyle w:val="TableContents"/>
            </w:pPr>
          </w:p>
          <w:p w:rsidR="004E5A74" w:rsidRDefault="009C32BE">
            <w:pPr>
              <w:pStyle w:val="TableContents"/>
            </w:pPr>
            <w:r>
              <w:t>místní komunikace nebo jejich části, zajišťující přístup k trvale obydleným nemovitostem a podnikatelským objektům, chodníky a stezky sloužící obyvatelům přilehlých nemovitostí</w:t>
            </w:r>
          </w:p>
        </w:tc>
        <w:tc>
          <w:tcPr>
            <w:tcW w:w="52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TableContents"/>
              <w:numPr>
                <w:ilvl w:val="0"/>
                <w:numId w:val="6"/>
              </w:numPr>
            </w:pPr>
            <w:r>
              <w:t>ulice v místní části Ždírec n.</w:t>
            </w:r>
            <w:r w:rsidR="00CA110A">
              <w:t xml:space="preserve"> </w:t>
            </w:r>
            <w:r>
              <w:t xml:space="preserve">D. - </w:t>
            </w:r>
            <w:r w:rsidR="00015ABA">
              <w:t>Luční, Na</w:t>
            </w:r>
            <w:r w:rsidR="00015ABA">
              <w:rPr>
                <w:rFonts w:hint="eastAsia"/>
              </w:rPr>
              <w:t> </w:t>
            </w:r>
            <w:r w:rsidR="00015ABA">
              <w:t>Kopaninách, Lipová</w:t>
            </w:r>
            <w:r w:rsidR="00015ABA">
              <w:t xml:space="preserve">, </w:t>
            </w:r>
            <w:r>
              <w:t>Konečná, U Potoka, U</w:t>
            </w:r>
            <w:r w:rsidR="00015ABA">
              <w:rPr>
                <w:rFonts w:hint="eastAsia"/>
              </w:rPr>
              <w:t> </w:t>
            </w:r>
            <w:r>
              <w:t xml:space="preserve">Hřiště, K Lávce, Na Balkáně, U Pošty, Stará, Květinová, Na Výsluní, </w:t>
            </w:r>
            <w:proofErr w:type="spellStart"/>
            <w:r>
              <w:t>Liběcká</w:t>
            </w:r>
            <w:proofErr w:type="spellEnd"/>
            <w:r>
              <w:t>, Hamerská, Zahradní, U Kina, Ve Vilkách, K Borovině, K</w:t>
            </w:r>
            <w:r w:rsidR="00002847">
              <w:rPr>
                <w:rFonts w:hint="eastAsia"/>
              </w:rPr>
              <w:t> </w:t>
            </w:r>
            <w:r>
              <w:t>Doubravce, Pod Tratí</w:t>
            </w:r>
            <w:r w:rsidR="00A2128D">
              <w:t xml:space="preserve">, </w:t>
            </w:r>
            <w:r w:rsidR="00A2128D">
              <w:t>V</w:t>
            </w:r>
            <w:r w:rsidR="00A2128D">
              <w:rPr>
                <w:rFonts w:hint="eastAsia"/>
              </w:rPr>
              <w:t> </w:t>
            </w:r>
            <w:r w:rsidR="00A2128D">
              <w:t>Údolí</w:t>
            </w:r>
          </w:p>
          <w:p w:rsidR="004E5A74" w:rsidRDefault="009C32BE">
            <w:pPr>
              <w:pStyle w:val="TableContents"/>
              <w:numPr>
                <w:ilvl w:val="0"/>
                <w:numId w:val="5"/>
              </w:numPr>
            </w:pPr>
            <w:r>
              <w:t>chodníky a přechody pro chodce v místních částech města nezařazených do I.</w:t>
            </w:r>
            <w:r w:rsidR="00CA110A">
              <w:t xml:space="preserve"> </w:t>
            </w:r>
            <w:r>
              <w:t>pořadí</w:t>
            </w:r>
          </w:p>
          <w:p w:rsidR="004E5A74" w:rsidRDefault="009C32BE">
            <w:pPr>
              <w:pStyle w:val="TableContents"/>
              <w:numPr>
                <w:ilvl w:val="0"/>
                <w:numId w:val="5"/>
              </w:numPr>
            </w:pPr>
            <w:r>
              <w:t>chodník Ždírec n.</w:t>
            </w:r>
            <w:r w:rsidR="00CA110A">
              <w:t xml:space="preserve"> </w:t>
            </w:r>
            <w:r>
              <w:t>D.</w:t>
            </w:r>
            <w:r w:rsidR="00CA110A">
              <w:t xml:space="preserve"> </w:t>
            </w:r>
            <w:r>
              <w:t>-</w:t>
            </w:r>
            <w:r w:rsidR="00CA110A">
              <w:t xml:space="preserve"> </w:t>
            </w:r>
            <w:r>
              <w:t>Nové Ransko</w:t>
            </w:r>
          </w:p>
          <w:p w:rsidR="004E5A74" w:rsidRDefault="009C32BE" w:rsidP="00002847">
            <w:pPr>
              <w:pStyle w:val="TableContents"/>
              <w:numPr>
                <w:ilvl w:val="0"/>
                <w:numId w:val="5"/>
              </w:numPr>
            </w:pPr>
            <w:r>
              <w:t>cyklostezky: Ždírec n.</w:t>
            </w:r>
            <w:r w:rsidR="00CA110A">
              <w:t xml:space="preserve"> </w:t>
            </w:r>
            <w:r>
              <w:t>D.</w:t>
            </w:r>
            <w:r w:rsidR="00CA110A">
              <w:t xml:space="preserve"> - </w:t>
            </w:r>
            <w:r>
              <w:t xml:space="preserve">hřbitov </w:t>
            </w:r>
            <w:r w:rsidR="00002847">
              <w:t xml:space="preserve">- </w:t>
            </w:r>
            <w:r>
              <w:t>H.</w:t>
            </w:r>
            <w:r w:rsidR="00CA110A">
              <w:rPr>
                <w:rFonts w:hint="eastAsia"/>
              </w:rPr>
              <w:t> </w:t>
            </w:r>
            <w:r>
              <w:t>Studenec, Ždírec</w:t>
            </w:r>
            <w:r w:rsidR="00002847">
              <w:t xml:space="preserve"> n. D.</w:t>
            </w:r>
            <w:r>
              <w:t xml:space="preserve"> </w:t>
            </w:r>
            <w:r w:rsidR="00002847">
              <w:t xml:space="preserve">- </w:t>
            </w:r>
            <w:r>
              <w:t>Kohoutov, Ždírec</w:t>
            </w:r>
            <w:r w:rsidR="00002847">
              <w:rPr>
                <w:rFonts w:hint="eastAsia"/>
              </w:rPr>
              <w:t> </w:t>
            </w:r>
            <w:r w:rsidR="00002847">
              <w:t>n.</w:t>
            </w:r>
            <w:r w:rsidR="00002847">
              <w:rPr>
                <w:rFonts w:hint="eastAsia"/>
              </w:rPr>
              <w:t> </w:t>
            </w:r>
            <w:r w:rsidR="00002847">
              <w:t xml:space="preserve">D. </w:t>
            </w:r>
            <w:r w:rsidR="00CA110A">
              <w:t xml:space="preserve"> </w:t>
            </w:r>
            <w:r>
              <w:t>-</w:t>
            </w:r>
            <w:r w:rsidR="00002847">
              <w:t xml:space="preserve"> </w:t>
            </w:r>
            <w:r>
              <w:t>Krucemburk</w:t>
            </w:r>
          </w:p>
        </w:tc>
      </w:tr>
      <w:tr w:rsidR="004E5A74">
        <w:tc>
          <w:tcPr>
            <w:tcW w:w="436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TableContents"/>
            </w:pPr>
            <w:r>
              <w:t>III. pořadí důležitosti</w:t>
            </w:r>
          </w:p>
          <w:p w:rsidR="004E5A74" w:rsidRDefault="004E5A74">
            <w:pPr>
              <w:pStyle w:val="TableContents"/>
            </w:pPr>
          </w:p>
          <w:p w:rsidR="004E5A74" w:rsidRDefault="009C32BE">
            <w:pPr>
              <w:pStyle w:val="TableContents"/>
            </w:pPr>
            <w:r>
              <w:t>ostatní obslužné komunikace a chodníky, které lze nahradit jinou souběžnou trasou</w:t>
            </w:r>
          </w:p>
        </w:tc>
        <w:tc>
          <w:tcPr>
            <w:tcW w:w="5272"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TableContents"/>
              <w:numPr>
                <w:ilvl w:val="0"/>
                <w:numId w:val="7"/>
              </w:numPr>
            </w:pPr>
            <w:r>
              <w:t>místní komunikace v zastavěném území obce sloužící jako přístup k rekreačním objektům a trvale neobývaným domům</w:t>
            </w:r>
          </w:p>
          <w:p w:rsidR="004E5A74" w:rsidRDefault="009C32BE">
            <w:pPr>
              <w:pStyle w:val="TableContents"/>
              <w:numPr>
                <w:ilvl w:val="0"/>
                <w:numId w:val="5"/>
              </w:numPr>
            </w:pPr>
            <w:r>
              <w:t>cyklostezka Kohoutov</w:t>
            </w:r>
            <w:r w:rsidR="00CA110A">
              <w:t xml:space="preserve"> - </w:t>
            </w:r>
            <w:r>
              <w:t>Benátky</w:t>
            </w:r>
          </w:p>
        </w:tc>
      </w:tr>
    </w:tbl>
    <w:p w:rsidR="004E5A74" w:rsidRDefault="004E5A74">
      <w:pPr>
        <w:pStyle w:val="Standard"/>
      </w:pPr>
    </w:p>
    <w:p w:rsidR="004E5A74" w:rsidRDefault="004E5A74">
      <w:pPr>
        <w:pStyle w:val="Standard"/>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CA110A" w:rsidRDefault="00CA110A">
      <w:pPr>
        <w:pStyle w:val="Standard"/>
        <w:rPr>
          <w:b/>
          <w:bCs/>
        </w:rPr>
      </w:pPr>
    </w:p>
    <w:p w:rsidR="00015ABA" w:rsidRDefault="00015ABA">
      <w:pPr>
        <w:pStyle w:val="Standard"/>
        <w:rPr>
          <w:b/>
          <w:bCs/>
        </w:rPr>
      </w:pPr>
    </w:p>
    <w:p w:rsidR="00015ABA" w:rsidRDefault="00015ABA">
      <w:pPr>
        <w:pStyle w:val="Standard"/>
        <w:rPr>
          <w:b/>
          <w:bCs/>
        </w:rPr>
      </w:pPr>
    </w:p>
    <w:p w:rsidR="00015ABA" w:rsidRDefault="00015ABA">
      <w:pPr>
        <w:pStyle w:val="Standard"/>
        <w:rPr>
          <w:b/>
          <w:bCs/>
        </w:rPr>
      </w:pPr>
    </w:p>
    <w:p w:rsidR="00CA110A" w:rsidRDefault="00CA110A">
      <w:pPr>
        <w:pStyle w:val="Standard"/>
        <w:rPr>
          <w:b/>
          <w:bCs/>
        </w:rPr>
      </w:pPr>
    </w:p>
    <w:p w:rsidR="00CA110A" w:rsidRDefault="00CA110A">
      <w:pPr>
        <w:pStyle w:val="Standard"/>
        <w:rPr>
          <w:b/>
          <w:bCs/>
        </w:rPr>
      </w:pPr>
    </w:p>
    <w:p w:rsidR="004E5A74" w:rsidRDefault="009C32BE">
      <w:pPr>
        <w:pStyle w:val="Standard"/>
        <w:rPr>
          <w:b/>
          <w:bCs/>
        </w:rPr>
      </w:pPr>
      <w:r>
        <w:rPr>
          <w:b/>
          <w:bCs/>
        </w:rPr>
        <w:t>Příloha č. 2 k nařízení č. 1/201</w:t>
      </w:r>
      <w:r w:rsidR="00CA110A">
        <w:rPr>
          <w:b/>
          <w:bCs/>
        </w:rPr>
        <w:t>9</w:t>
      </w:r>
    </w:p>
    <w:p w:rsidR="004E5A74" w:rsidRDefault="004E5A74">
      <w:pPr>
        <w:pStyle w:val="Standard"/>
      </w:pPr>
    </w:p>
    <w:p w:rsidR="004E5A74" w:rsidRDefault="009C32BE">
      <w:pPr>
        <w:pStyle w:val="Standard"/>
      </w:pPr>
      <w:r>
        <w:t>Způsob a lhůty k odstraňování závad ve sjízdnosti a schůdnosti místních komunikací (MK):</w:t>
      </w:r>
    </w:p>
    <w:p w:rsidR="004E5A74" w:rsidRDefault="009C32BE">
      <w:pPr>
        <w:pStyle w:val="Standard"/>
      </w:pPr>
      <w:r>
        <w:t xml:space="preserve"> </w:t>
      </w:r>
    </w:p>
    <w:tbl>
      <w:tblPr>
        <w:tblW w:w="9637" w:type="dxa"/>
        <w:tblLayout w:type="fixed"/>
        <w:tblCellMar>
          <w:left w:w="10" w:type="dxa"/>
          <w:right w:w="10" w:type="dxa"/>
        </w:tblCellMar>
        <w:tblLook w:val="0000" w:firstRow="0" w:lastRow="0" w:firstColumn="0" w:lastColumn="0" w:noHBand="0" w:noVBand="0"/>
      </w:tblPr>
      <w:tblGrid>
        <w:gridCol w:w="2295"/>
        <w:gridCol w:w="4215"/>
        <w:gridCol w:w="3127"/>
      </w:tblGrid>
      <w:tr w:rsidR="004E5A74">
        <w:tc>
          <w:tcPr>
            <w:tcW w:w="2295" w:type="dxa"/>
            <w:tcBorders>
              <w:top w:val="single" w:sz="2" w:space="0" w:color="000000"/>
              <w:left w:val="single" w:sz="2" w:space="0" w:color="000000"/>
              <w:bottom w:val="single" w:sz="2" w:space="0" w:color="000000"/>
            </w:tcBorders>
            <w:tcMar>
              <w:top w:w="55" w:type="dxa"/>
              <w:left w:w="55" w:type="dxa"/>
              <w:bottom w:w="55" w:type="dxa"/>
              <w:right w:w="55" w:type="dxa"/>
            </w:tcMar>
          </w:tcPr>
          <w:p w:rsidR="004E5A74" w:rsidRDefault="009C32BE">
            <w:pPr>
              <w:pStyle w:val="Standard"/>
            </w:pPr>
            <w:r>
              <w:t>Pořadí důležitosti motoristické komunikace</w:t>
            </w:r>
          </w:p>
        </w:tc>
        <w:tc>
          <w:tcPr>
            <w:tcW w:w="4215" w:type="dxa"/>
            <w:tcBorders>
              <w:top w:val="single" w:sz="2" w:space="0" w:color="000000"/>
              <w:left w:val="single" w:sz="2" w:space="0" w:color="000000"/>
              <w:bottom w:val="single" w:sz="2" w:space="0" w:color="000000"/>
            </w:tcBorders>
            <w:tcMar>
              <w:top w:w="55" w:type="dxa"/>
              <w:left w:w="55" w:type="dxa"/>
              <w:bottom w:w="55" w:type="dxa"/>
              <w:right w:w="55" w:type="dxa"/>
            </w:tcMar>
          </w:tcPr>
          <w:p w:rsidR="004E5A74" w:rsidRDefault="009C32BE">
            <w:pPr>
              <w:pStyle w:val="Standard"/>
            </w:pPr>
            <w:r>
              <w:t>Způsob odstraňování závad ve schůdnosti a sjízdnosti</w:t>
            </w:r>
          </w:p>
        </w:tc>
        <w:tc>
          <w:tcPr>
            <w:tcW w:w="31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Standard"/>
            </w:pPr>
            <w:r>
              <w:t>Lhůty odstraňování závad</w:t>
            </w:r>
          </w:p>
        </w:tc>
      </w:tr>
      <w:tr w:rsidR="004E5A74">
        <w:tc>
          <w:tcPr>
            <w:tcW w:w="229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I. pořadí důležitosti</w:t>
            </w:r>
          </w:p>
        </w:tc>
        <w:tc>
          <w:tcPr>
            <w:tcW w:w="421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 xml:space="preserve">Náledí a zbytková vrstva sněhu po plužení o tloušťce menší než 5 cm se odstraňuje posypem chemickými rozmrazovacími materiály  (sůl 15-20 g). Kluzkost sněhové vrstvy při neúčinnosti rozmrazovacích materiálů se snižuje posypem </w:t>
            </w:r>
            <w:proofErr w:type="spellStart"/>
            <w:r>
              <w:t>zdrsňovacími</w:t>
            </w:r>
            <w:proofErr w:type="spellEnd"/>
            <w:r>
              <w:t xml:space="preserve"> materiály – drť o hrubosti 4/8, tříděný říční písek, piliny.</w:t>
            </w:r>
          </w:p>
        </w:tc>
        <w:tc>
          <w:tcPr>
            <w:tcW w:w="31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Standard"/>
            </w:pPr>
            <w:r>
              <w:t>Zmírnění následků závad ve sjízdnosti musí být provedeno do 6 hod. po ukončení nepříznivých vlivů počasí.</w:t>
            </w:r>
          </w:p>
        </w:tc>
      </w:tr>
      <w:tr w:rsidR="004E5A74">
        <w:tc>
          <w:tcPr>
            <w:tcW w:w="229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II. pořadí důležitosti</w:t>
            </w:r>
          </w:p>
        </w:tc>
        <w:tc>
          <w:tcPr>
            <w:tcW w:w="421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Zmírnění  následků závad ve sjízdnosti se provede plužením všech MK.  V místech, kde vznikne zledovatělý povrch a kde slouží MK též pro chodce, budou tyto ošetřeny drtí.</w:t>
            </w:r>
          </w:p>
        </w:tc>
        <w:tc>
          <w:tcPr>
            <w:tcW w:w="31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Standard"/>
            </w:pPr>
            <w:r>
              <w:t>Zmírňování se provádí ihned po provedení ZÚ na silnicích v I. pořadí, max. do 12 hod. po ukončení nepříznivých vlivů počasí.</w:t>
            </w:r>
          </w:p>
        </w:tc>
      </w:tr>
      <w:tr w:rsidR="004E5A74">
        <w:tc>
          <w:tcPr>
            <w:tcW w:w="229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III. pořadí důležitosti</w:t>
            </w:r>
          </w:p>
        </w:tc>
        <w:tc>
          <w:tcPr>
            <w:tcW w:w="4215" w:type="dxa"/>
            <w:tcBorders>
              <w:left w:val="single" w:sz="2" w:space="0" w:color="000000"/>
              <w:bottom w:val="single" w:sz="2" w:space="0" w:color="000000"/>
            </w:tcBorders>
            <w:tcMar>
              <w:top w:w="55" w:type="dxa"/>
              <w:left w:w="55" w:type="dxa"/>
              <w:bottom w:w="55" w:type="dxa"/>
              <w:right w:w="55" w:type="dxa"/>
            </w:tcMar>
          </w:tcPr>
          <w:p w:rsidR="004E5A74" w:rsidRDefault="009C32BE">
            <w:pPr>
              <w:pStyle w:val="Standard"/>
            </w:pPr>
            <w:r>
              <w:t>Komunikace v tomto pořadí se udržují plužením následně po zajištění sjízdnosti a schůdnosti MK zařazených do I. a II. pořadí. V místech, kde vznikne zledovatělý povrch a kde slouží MK též pro chodce, budou tyto ošetřeny drtí.</w:t>
            </w:r>
          </w:p>
        </w:tc>
        <w:tc>
          <w:tcPr>
            <w:tcW w:w="3127" w:type="dxa"/>
            <w:tcBorders>
              <w:left w:val="single" w:sz="2" w:space="0" w:color="000000"/>
              <w:bottom w:val="single" w:sz="2" w:space="0" w:color="000000"/>
              <w:right w:val="single" w:sz="2" w:space="0" w:color="000000"/>
            </w:tcBorders>
            <w:tcMar>
              <w:top w:w="55" w:type="dxa"/>
              <w:left w:w="55" w:type="dxa"/>
              <w:bottom w:w="55" w:type="dxa"/>
              <w:right w:w="55" w:type="dxa"/>
            </w:tcMar>
          </w:tcPr>
          <w:p w:rsidR="004E5A74" w:rsidRDefault="009C32BE">
            <w:pPr>
              <w:pStyle w:val="Standard"/>
            </w:pPr>
            <w:r>
              <w:t>Zmírňování závad se provádí nejpozději do 48 hodin po ukončení nepříznivých vlivů počasí.</w:t>
            </w:r>
          </w:p>
        </w:tc>
      </w:tr>
    </w:tbl>
    <w:p w:rsidR="004E5A74" w:rsidRDefault="004E5A74">
      <w:pPr>
        <w:pStyle w:val="Standard"/>
      </w:pPr>
    </w:p>
    <w:sectPr w:rsidR="004E5A74">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D61" w:rsidRDefault="009C32BE">
      <w:r>
        <w:separator/>
      </w:r>
    </w:p>
  </w:endnote>
  <w:endnote w:type="continuationSeparator" w:id="0">
    <w:p w:rsidR="00F34D61" w:rsidRDefault="009C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horndale AMT">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lbany AMT">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D61" w:rsidRDefault="009C32BE">
      <w:r>
        <w:rPr>
          <w:color w:val="000000"/>
        </w:rPr>
        <w:separator/>
      </w:r>
    </w:p>
  </w:footnote>
  <w:footnote w:type="continuationSeparator" w:id="0">
    <w:p w:rsidR="00F34D61" w:rsidRDefault="009C32BE">
      <w:r>
        <w:continuationSeparator/>
      </w:r>
    </w:p>
  </w:footnote>
  <w:footnote w:id="1">
    <w:p w:rsidR="004E5A74" w:rsidRDefault="009C32BE">
      <w:pPr>
        <w:pStyle w:val="Footnote"/>
      </w:pPr>
      <w:r>
        <w:rPr>
          <w:rStyle w:val="Znakapoznpodarou"/>
        </w:rPr>
        <w:footnoteRef/>
      </w:r>
      <w:r>
        <w:t xml:space="preserve">§ 6 odst. 3) </w:t>
      </w:r>
      <w:proofErr w:type="spellStart"/>
      <w:proofErr w:type="gramStart"/>
      <w:r>
        <w:t>zák.č</w:t>
      </w:r>
      <w:proofErr w:type="spellEnd"/>
      <w:r>
        <w:t>.</w:t>
      </w:r>
      <w:proofErr w:type="gramEnd"/>
      <w:r>
        <w:t xml:space="preserve"> 13/1997 Sb., o pozemních komunikacích, ve znění pozdějších předpisů § 3 Vyhlášky č. 104/1997 Sb., kterou se provádí zákon o pozemních komunikacích, ve znění pozdějších předpisů.</w:t>
      </w:r>
    </w:p>
  </w:footnote>
  <w:footnote w:id="2">
    <w:p w:rsidR="004E5A74" w:rsidRDefault="009C32BE">
      <w:pPr>
        <w:pStyle w:val="Footnote"/>
      </w:pPr>
      <w:r>
        <w:rPr>
          <w:rStyle w:val="Znakapoznpodarou"/>
        </w:rPr>
        <w:footnoteRef/>
      </w:r>
      <w:r>
        <w:t xml:space="preserve">§ 27 odst. 4) </w:t>
      </w:r>
      <w:proofErr w:type="spellStart"/>
      <w:proofErr w:type="gramStart"/>
      <w:r>
        <w:t>zák.č</w:t>
      </w:r>
      <w:proofErr w:type="spellEnd"/>
      <w:r>
        <w:t>.</w:t>
      </w:r>
      <w:proofErr w:type="gramEnd"/>
      <w:r>
        <w:t xml:space="preserve"> 13/1997 Sb., o pozemních komunikacích, ve znění pozdějších předpisů.</w:t>
      </w:r>
    </w:p>
  </w:footnote>
  <w:footnote w:id="3">
    <w:p w:rsidR="004E5A74" w:rsidRDefault="009C32BE">
      <w:pPr>
        <w:pStyle w:val="Footnote"/>
      </w:pPr>
      <w:r>
        <w:rPr>
          <w:rStyle w:val="Znakapoznpodarou"/>
        </w:rPr>
        <w:footnoteRef/>
      </w:r>
      <w:r>
        <w:t>§ 41 odst. 4) Vyhlášky č. 104/1997 Sb., kterou se provádí zákon o pozemních komunikacích, ve znění pozdějších předpisů.</w:t>
      </w:r>
    </w:p>
  </w:footnote>
  <w:footnote w:id="4">
    <w:p w:rsidR="004E5A74" w:rsidRDefault="009C32BE">
      <w:pPr>
        <w:pStyle w:val="Footnote"/>
      </w:pPr>
      <w:r>
        <w:rPr>
          <w:rStyle w:val="Znakapoznpodarou"/>
        </w:rPr>
        <w:footnoteRef/>
      </w:r>
      <w:r>
        <w:t>zákon č.200/1990 Sb., o přestupcích, ve znění pozdějších předpisů</w:t>
      </w:r>
      <w:r>
        <w:br/>
        <w:t>zákon č.13/1997 Sb., o pozemních komunikacích, ve znění pozdějších předpisů</w:t>
      </w:r>
      <w:r>
        <w:br/>
        <w:t>zákon č.128/2000 Sb., o obcích  (obecní zřízení),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1350"/>
    <w:multiLevelType w:val="multilevel"/>
    <w:tmpl w:val="1DB868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41B66C6"/>
    <w:multiLevelType w:val="multilevel"/>
    <w:tmpl w:val="22A2EAD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5AB3A83"/>
    <w:multiLevelType w:val="multilevel"/>
    <w:tmpl w:val="FFC859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D3C5E06"/>
    <w:multiLevelType w:val="multilevel"/>
    <w:tmpl w:val="BA92E88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 w15:restartNumberingAfterBreak="0">
    <w:nsid w:val="70B51885"/>
    <w:multiLevelType w:val="multilevel"/>
    <w:tmpl w:val="AB58EEA8"/>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4"/>
  </w:num>
  <w:num w:numId="3">
    <w:abstractNumId w:val="0"/>
  </w:num>
  <w:num w:numId="4">
    <w:abstractNumId w:val="2"/>
  </w:num>
  <w:num w:numId="5">
    <w:abstractNumId w:val="3"/>
  </w:num>
  <w:num w:numId="6">
    <w:abstractNumId w:val="3"/>
    <w:lvlOverride w:ilvl="0">
      <w:startOverride w:val="1"/>
    </w:lvlOverride>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74"/>
    <w:rsid w:val="00002847"/>
    <w:rsid w:val="00015ABA"/>
    <w:rsid w:val="001B12AC"/>
    <w:rsid w:val="004433BF"/>
    <w:rsid w:val="004E5A74"/>
    <w:rsid w:val="006916E4"/>
    <w:rsid w:val="00827A94"/>
    <w:rsid w:val="00906564"/>
    <w:rsid w:val="009C32BE"/>
    <w:rsid w:val="00A2128D"/>
    <w:rsid w:val="00BB336B"/>
    <w:rsid w:val="00CA110A"/>
    <w:rsid w:val="00D4777B"/>
    <w:rsid w:val="00F34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8426"/>
  <w15:docId w15:val="{5A7CBC7A-0CE3-4DEF-90F1-C7A51F2B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orndale AMT" w:eastAsia="Lucida Sans Unicode" w:hAnsi="Thorndale AMT"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StarSymbol" w:eastAsia="StarSymbol" w:hAnsi="StarSymbol" w:cs="StarSymbol"/>
      <w:sz w:val="18"/>
      <w:szCs w:val="18"/>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A212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12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1925">
      <w:bodyDiv w:val="1"/>
      <w:marLeft w:val="0"/>
      <w:marRight w:val="0"/>
      <w:marTop w:val="0"/>
      <w:marBottom w:val="0"/>
      <w:divBdr>
        <w:top w:val="none" w:sz="0" w:space="0" w:color="auto"/>
        <w:left w:val="none" w:sz="0" w:space="0" w:color="auto"/>
        <w:bottom w:val="none" w:sz="0" w:space="0" w:color="auto"/>
        <w:right w:val="none" w:sz="0" w:space="0" w:color="auto"/>
      </w:divBdr>
      <w:divsChild>
        <w:div w:id="699814978">
          <w:marLeft w:val="0"/>
          <w:marRight w:val="0"/>
          <w:marTop w:val="0"/>
          <w:marBottom w:val="0"/>
          <w:divBdr>
            <w:top w:val="none" w:sz="0" w:space="0" w:color="auto"/>
            <w:left w:val="none" w:sz="0" w:space="0" w:color="auto"/>
            <w:bottom w:val="none" w:sz="0" w:space="0" w:color="auto"/>
            <w:right w:val="none" w:sz="0" w:space="0" w:color="auto"/>
          </w:divBdr>
          <w:divsChild>
            <w:div w:id="1507986824">
              <w:marLeft w:val="0"/>
              <w:marRight w:val="0"/>
              <w:marTop w:val="0"/>
              <w:marBottom w:val="0"/>
              <w:divBdr>
                <w:top w:val="none" w:sz="0" w:space="0" w:color="auto"/>
                <w:left w:val="none" w:sz="0" w:space="0" w:color="auto"/>
                <w:bottom w:val="none" w:sz="0" w:space="0" w:color="auto"/>
                <w:right w:val="none" w:sz="0" w:space="0" w:color="auto"/>
              </w:divBdr>
              <w:divsChild>
                <w:div w:id="424500803">
                  <w:marLeft w:val="0"/>
                  <w:marRight w:val="0"/>
                  <w:marTop w:val="0"/>
                  <w:marBottom w:val="0"/>
                  <w:divBdr>
                    <w:top w:val="none" w:sz="0" w:space="0" w:color="auto"/>
                    <w:left w:val="none" w:sz="0" w:space="0" w:color="auto"/>
                    <w:bottom w:val="none" w:sz="0" w:space="0" w:color="auto"/>
                    <w:right w:val="none" w:sz="0" w:space="0" w:color="auto"/>
                  </w:divBdr>
                  <w:divsChild>
                    <w:div w:id="1091245285">
                      <w:marLeft w:val="0"/>
                      <w:marRight w:val="0"/>
                      <w:marTop w:val="0"/>
                      <w:marBottom w:val="0"/>
                      <w:divBdr>
                        <w:top w:val="none" w:sz="0" w:space="0" w:color="auto"/>
                        <w:left w:val="none" w:sz="0" w:space="0" w:color="auto"/>
                        <w:bottom w:val="none" w:sz="0" w:space="0" w:color="auto"/>
                        <w:right w:val="none" w:sz="0" w:space="0" w:color="auto"/>
                      </w:divBdr>
                      <w:divsChild>
                        <w:div w:id="1376464647">
                          <w:marLeft w:val="75"/>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19770010">
      <w:bodyDiv w:val="1"/>
      <w:marLeft w:val="0"/>
      <w:marRight w:val="0"/>
      <w:marTop w:val="0"/>
      <w:marBottom w:val="0"/>
      <w:divBdr>
        <w:top w:val="none" w:sz="0" w:space="0" w:color="auto"/>
        <w:left w:val="none" w:sz="0" w:space="0" w:color="auto"/>
        <w:bottom w:val="none" w:sz="0" w:space="0" w:color="auto"/>
        <w:right w:val="none" w:sz="0" w:space="0" w:color="auto"/>
      </w:divBdr>
      <w:divsChild>
        <w:div w:id="1332611064">
          <w:marLeft w:val="0"/>
          <w:marRight w:val="0"/>
          <w:marTop w:val="0"/>
          <w:marBottom w:val="0"/>
          <w:divBdr>
            <w:top w:val="none" w:sz="0" w:space="0" w:color="auto"/>
            <w:left w:val="none" w:sz="0" w:space="0" w:color="auto"/>
            <w:bottom w:val="none" w:sz="0" w:space="0" w:color="auto"/>
            <w:right w:val="none" w:sz="0" w:space="0" w:color="auto"/>
          </w:divBdr>
          <w:divsChild>
            <w:div w:id="868757986">
              <w:marLeft w:val="0"/>
              <w:marRight w:val="0"/>
              <w:marTop w:val="0"/>
              <w:marBottom w:val="0"/>
              <w:divBdr>
                <w:top w:val="none" w:sz="0" w:space="0" w:color="auto"/>
                <w:left w:val="none" w:sz="0" w:space="0" w:color="auto"/>
                <w:bottom w:val="none" w:sz="0" w:space="0" w:color="auto"/>
                <w:right w:val="none" w:sz="0" w:space="0" w:color="auto"/>
              </w:divBdr>
              <w:divsChild>
                <w:div w:id="1171027604">
                  <w:marLeft w:val="0"/>
                  <w:marRight w:val="0"/>
                  <w:marTop w:val="0"/>
                  <w:marBottom w:val="0"/>
                  <w:divBdr>
                    <w:top w:val="none" w:sz="0" w:space="0" w:color="auto"/>
                    <w:left w:val="none" w:sz="0" w:space="0" w:color="auto"/>
                    <w:bottom w:val="none" w:sz="0" w:space="0" w:color="auto"/>
                    <w:right w:val="none" w:sz="0" w:space="0" w:color="auto"/>
                  </w:divBdr>
                  <w:divsChild>
                    <w:div w:id="559488341">
                      <w:marLeft w:val="0"/>
                      <w:marRight w:val="0"/>
                      <w:marTop w:val="0"/>
                      <w:marBottom w:val="0"/>
                      <w:divBdr>
                        <w:top w:val="none" w:sz="0" w:space="0" w:color="auto"/>
                        <w:left w:val="none" w:sz="0" w:space="0" w:color="auto"/>
                        <w:bottom w:val="none" w:sz="0" w:space="0" w:color="auto"/>
                        <w:right w:val="none" w:sz="0" w:space="0" w:color="auto"/>
                      </w:divBdr>
                      <w:divsChild>
                        <w:div w:id="925573627">
                          <w:marLeft w:val="75"/>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1178</Words>
  <Characters>6952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místostarosta</dc:creator>
  <cp:lastModifiedBy>Mistostarosta</cp:lastModifiedBy>
  <cp:revision>4</cp:revision>
  <cp:lastPrinted>2019-10-02T06:12:00Z</cp:lastPrinted>
  <dcterms:created xsi:type="dcterms:W3CDTF">2019-09-25T15:11:00Z</dcterms:created>
  <dcterms:modified xsi:type="dcterms:W3CDTF">2019-10-02T06:12:00Z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