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595F1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9E5FA0A" w14:textId="797F6E3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877CD">
        <w:rPr>
          <w:rFonts w:ascii="Arial" w:hAnsi="Arial" w:cs="Arial"/>
          <w:b/>
        </w:rPr>
        <w:t>Stará Voda</w:t>
      </w:r>
    </w:p>
    <w:p w14:paraId="06B65A62" w14:textId="0C27A93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877CD">
        <w:rPr>
          <w:rFonts w:ascii="Arial" w:hAnsi="Arial" w:cs="Arial"/>
          <w:b/>
        </w:rPr>
        <w:t>Stará Voda</w:t>
      </w:r>
    </w:p>
    <w:p w14:paraId="1CB618AD" w14:textId="33F3FACB" w:rsidR="008D6906" w:rsidRPr="00DD19E5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877CD">
        <w:rPr>
          <w:rFonts w:ascii="Arial" w:hAnsi="Arial" w:cs="Arial"/>
          <w:b/>
        </w:rPr>
        <w:t xml:space="preserve">Stará </w:t>
      </w:r>
      <w:proofErr w:type="gramStart"/>
      <w:r w:rsidR="005877CD">
        <w:rPr>
          <w:rFonts w:ascii="Arial" w:hAnsi="Arial" w:cs="Arial"/>
          <w:b/>
        </w:rPr>
        <w:t xml:space="preserve">Voda </w:t>
      </w:r>
      <w:r w:rsidRPr="002E0EAD">
        <w:rPr>
          <w:rFonts w:ascii="Arial" w:hAnsi="Arial" w:cs="Arial"/>
          <w:b/>
        </w:rPr>
        <w:t xml:space="preserve"> č.</w:t>
      </w:r>
      <w:proofErr w:type="gramEnd"/>
      <w:r w:rsidRPr="002E0EAD">
        <w:rPr>
          <w:rFonts w:ascii="Arial" w:hAnsi="Arial" w:cs="Arial"/>
          <w:b/>
        </w:rPr>
        <w:t xml:space="preserve"> </w:t>
      </w:r>
      <w:r w:rsidR="009C198C" w:rsidRPr="00DD19E5">
        <w:rPr>
          <w:rFonts w:ascii="Arial" w:hAnsi="Arial" w:cs="Arial"/>
          <w:b/>
        </w:rPr>
        <w:t>2/2021</w:t>
      </w:r>
    </w:p>
    <w:p w14:paraId="10DD6BBC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197AB85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3FE4EBA" w14:textId="54ABABEC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5877CD">
        <w:rPr>
          <w:rFonts w:ascii="Arial" w:hAnsi="Arial" w:cs="Arial"/>
          <w:b w:val="0"/>
          <w:sz w:val="22"/>
          <w:szCs w:val="22"/>
        </w:rPr>
        <w:t>Stará Voda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DD19E5">
        <w:rPr>
          <w:rFonts w:ascii="Arial" w:hAnsi="Arial" w:cs="Arial"/>
          <w:b w:val="0"/>
          <w:sz w:val="22"/>
          <w:szCs w:val="22"/>
        </w:rPr>
        <w:t>14. prosince 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DD19E5">
        <w:rPr>
          <w:rFonts w:ascii="Arial" w:hAnsi="Arial" w:cs="Arial"/>
          <w:b w:val="0"/>
          <w:sz w:val="22"/>
          <w:szCs w:val="22"/>
        </w:rPr>
        <w:t>XIX/I/</w:t>
      </w:r>
      <w:proofErr w:type="gramStart"/>
      <w:r w:rsidR="00DD19E5">
        <w:rPr>
          <w:rFonts w:ascii="Arial" w:hAnsi="Arial" w:cs="Arial"/>
          <w:b w:val="0"/>
          <w:sz w:val="22"/>
          <w:szCs w:val="22"/>
        </w:rPr>
        <w:t xml:space="preserve">5 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E1EF1B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42CB40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2035E9C" w14:textId="7359E78D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5877CD">
        <w:rPr>
          <w:rFonts w:ascii="Arial" w:hAnsi="Arial" w:cs="Arial"/>
          <w:sz w:val="22"/>
          <w:szCs w:val="22"/>
        </w:rPr>
        <w:t>Stará Voda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3651805B" w14:textId="662A7A44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5877CD">
        <w:rPr>
          <w:rFonts w:ascii="Arial" w:hAnsi="Arial" w:cs="Arial"/>
          <w:sz w:val="22"/>
          <w:szCs w:val="22"/>
        </w:rPr>
        <w:t>Stará Voda.</w:t>
      </w:r>
    </w:p>
    <w:p w14:paraId="6FB5FC4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39CD643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22D49C7D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1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1841A36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53EE694D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7C4A8716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22D4835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 xml:space="preserve"> </w:t>
      </w:r>
    </w:p>
    <w:p w14:paraId="2E3804C7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361C12DF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6E0CC0E9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4"/>
      </w:r>
      <w:r w:rsidRPr="003D4FDC">
        <w:rPr>
          <w:rFonts w:ascii="Arial" w:hAnsi="Arial" w:cs="Arial"/>
          <w:sz w:val="22"/>
          <w:szCs w:val="22"/>
        </w:rPr>
        <w:t>.</w:t>
      </w:r>
    </w:p>
    <w:p w14:paraId="7A51AAEB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2A16F860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4E435038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76949EA" w14:textId="7777777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D455A1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4</w:t>
      </w:r>
    </w:p>
    <w:p w14:paraId="189F0F0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90F9EF6" w14:textId="05836E32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404F20">
        <w:rPr>
          <w:rFonts w:ascii="Arial" w:hAnsi="Arial" w:cs="Arial"/>
          <w:sz w:val="22"/>
          <w:szCs w:val="22"/>
        </w:rPr>
        <w:t>15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>dnů</w:t>
      </w:r>
      <w:proofErr w:type="gramEnd"/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 </w:t>
      </w:r>
      <w:r w:rsidR="00404F20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dnů.</w:t>
      </w:r>
    </w:p>
    <w:p w14:paraId="0370F4DA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>
        <w:rPr>
          <w:rFonts w:ascii="Arial" w:hAnsi="Arial" w:cs="Arial"/>
          <w:sz w:val="22"/>
          <w:szCs w:val="22"/>
        </w:rPr>
        <w:t xml:space="preserve"> </w:t>
      </w:r>
    </w:p>
    <w:p w14:paraId="1F6E1209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5CB697A5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3E46D81" w14:textId="187B4AB4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8E0A08">
        <w:rPr>
          <w:rFonts w:ascii="Arial" w:hAnsi="Arial" w:cs="Arial"/>
          <w:sz w:val="22"/>
          <w:szCs w:val="22"/>
        </w:rPr>
        <w:t>.</w:t>
      </w:r>
    </w:p>
    <w:p w14:paraId="4D49E287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68427C4" w14:textId="2928B87E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6F6520F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2B6EAB5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E56F2C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14:paraId="48AB9727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2"/>
      </w:r>
    </w:p>
    <w:p w14:paraId="79D2801E" w14:textId="77777777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B89EDA5" w14:textId="77777777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156E9867" w14:textId="77777777"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lastRenderedPageBreak/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594F019C" w14:textId="02009654" w:rsidR="00DA4795" w:rsidRPr="00DD19E5" w:rsidRDefault="001E58D2" w:rsidP="00DD19E5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46FDB39C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0DE04B68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70B97F30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250F3600" w14:textId="52076D80" w:rsidR="00601AB9" w:rsidRPr="00DD19E5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D19E5">
        <w:rPr>
          <w:rFonts w:ascii="Arial" w:hAnsi="Arial" w:cs="Arial"/>
          <w:i/>
          <w:sz w:val="22"/>
          <w:szCs w:val="22"/>
        </w:rPr>
        <w:t xml:space="preserve"> </w:t>
      </w:r>
      <w:r w:rsidR="00330165" w:rsidRPr="00DD19E5">
        <w:rPr>
          <w:rFonts w:ascii="Arial" w:hAnsi="Arial" w:cs="Arial"/>
          <w:sz w:val="22"/>
          <w:szCs w:val="22"/>
        </w:rPr>
        <w:t xml:space="preserve">Sazba poplatku činí </w:t>
      </w:r>
      <w:r w:rsidR="00404F20" w:rsidRPr="00DD19E5">
        <w:rPr>
          <w:rFonts w:ascii="Arial" w:hAnsi="Arial" w:cs="Arial"/>
          <w:sz w:val="22"/>
          <w:szCs w:val="22"/>
        </w:rPr>
        <w:t>0,6</w:t>
      </w:r>
      <w:r w:rsidR="009C198C" w:rsidRPr="00DD19E5">
        <w:rPr>
          <w:rFonts w:ascii="Arial" w:hAnsi="Arial" w:cs="Arial"/>
          <w:sz w:val="22"/>
          <w:szCs w:val="22"/>
        </w:rPr>
        <w:t>5</w:t>
      </w:r>
      <w:r w:rsidR="00330165" w:rsidRPr="00DD19E5">
        <w:rPr>
          <w:rFonts w:ascii="Arial" w:hAnsi="Arial" w:cs="Arial"/>
          <w:sz w:val="22"/>
          <w:szCs w:val="22"/>
        </w:rPr>
        <w:t xml:space="preserve"> Kč za l.</w:t>
      </w:r>
    </w:p>
    <w:p w14:paraId="731FB8D2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230242A2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3"/>
      </w:r>
    </w:p>
    <w:p w14:paraId="28C2FB86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5B37FFC5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0E5C1C55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689C56B3" w14:textId="539C87B8" w:rsidR="00601AB9" w:rsidRPr="00DD19E5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50B6EDDD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14D01326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7ADF88F0" w14:textId="39954899" w:rsidR="009C198C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</w:t>
      </w:r>
      <w:r w:rsidR="009C198C">
        <w:rPr>
          <w:rFonts w:ascii="Arial" w:hAnsi="Arial" w:cs="Arial"/>
          <w:sz w:val="22"/>
          <w:szCs w:val="22"/>
        </w:rPr>
        <w:t xml:space="preserve"> </w:t>
      </w:r>
      <w:r w:rsidR="00C631F1">
        <w:rPr>
          <w:rFonts w:ascii="Arial" w:hAnsi="Arial" w:cs="Arial"/>
          <w:sz w:val="22"/>
          <w:szCs w:val="22"/>
        </w:rPr>
        <w:t>nejpozději</w:t>
      </w:r>
      <w:r w:rsidR="009C198C">
        <w:rPr>
          <w:rFonts w:ascii="Arial" w:hAnsi="Arial" w:cs="Arial"/>
          <w:sz w:val="22"/>
          <w:szCs w:val="22"/>
        </w:rPr>
        <w:t>:</w:t>
      </w:r>
    </w:p>
    <w:p w14:paraId="6DA37628" w14:textId="77777777" w:rsidR="009C198C" w:rsidRDefault="009C198C" w:rsidP="009C198C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601AB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 dílčí období od 1. ledna do 30. června do 15. července příslušného kalendářního roku</w:t>
      </w:r>
    </w:p>
    <w:p w14:paraId="0D7B66CF" w14:textId="554CB6F0" w:rsidR="00601AB9" w:rsidRDefault="009C198C" w:rsidP="009C198C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za dílčí období od 1. července do 31. prosince do 15. ledna následujícího kalendářního roku</w:t>
      </w:r>
      <w:r w:rsidR="00601AB9">
        <w:rPr>
          <w:rFonts w:ascii="Arial" w:hAnsi="Arial" w:cs="Arial"/>
          <w:sz w:val="22"/>
          <w:szCs w:val="22"/>
        </w:rPr>
        <w:t xml:space="preserve"> </w:t>
      </w:r>
    </w:p>
    <w:p w14:paraId="420B06B3" w14:textId="6F600C31" w:rsidR="006323A6" w:rsidRPr="00DD19E5" w:rsidRDefault="006323A6" w:rsidP="00DD19E5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3C0CE0C9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14:paraId="55185E1A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22DEF88B" w14:textId="77777777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5EF1B1F4" w14:textId="77777777"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7944C616" w14:textId="77777777"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lastRenderedPageBreak/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E704223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14:paraId="13A61435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6561E069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76EB0DF5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2836CD6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76F318E4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42398F71" w14:textId="53A91B23" w:rsidR="00F71057" w:rsidRDefault="00F71057" w:rsidP="00DD19E5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540C183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2</w:t>
      </w:r>
    </w:p>
    <w:p w14:paraId="104C81CE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24A7D0F5" w14:textId="7945BA87" w:rsidR="00C631F1" w:rsidRPr="00DD19E5" w:rsidRDefault="00F71057" w:rsidP="00F7105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D19E5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C631F1" w:rsidRPr="00DD19E5">
        <w:rPr>
          <w:rFonts w:ascii="Arial" w:hAnsi="Arial" w:cs="Arial"/>
          <w:sz w:val="22"/>
          <w:szCs w:val="22"/>
        </w:rPr>
        <w:t>1/</w:t>
      </w:r>
      <w:r w:rsidR="00626A32" w:rsidRPr="00DD19E5">
        <w:rPr>
          <w:rFonts w:ascii="Arial" w:hAnsi="Arial" w:cs="Arial"/>
          <w:sz w:val="22"/>
          <w:szCs w:val="22"/>
        </w:rPr>
        <w:t>20</w:t>
      </w:r>
      <w:r w:rsidR="00C631F1" w:rsidRPr="00DD19E5">
        <w:rPr>
          <w:rFonts w:ascii="Arial" w:hAnsi="Arial" w:cs="Arial"/>
          <w:sz w:val="22"/>
          <w:szCs w:val="22"/>
        </w:rPr>
        <w:t>16 o stanovení systému shromažďování, sběru, přepravy, třídění, využívání a odstraňování komunálních odpadů a nakládání se stavebním odpadem na území obce Stará Voda ze dne 25.10.2016</w:t>
      </w:r>
    </w:p>
    <w:p w14:paraId="65658883" w14:textId="77777777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14:paraId="0332F138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25F7021" w14:textId="64C3F5BF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74226">
        <w:rPr>
          <w:rFonts w:ascii="Arial" w:hAnsi="Arial" w:cs="Arial"/>
          <w:sz w:val="22"/>
          <w:szCs w:val="22"/>
        </w:rPr>
        <w:t xml:space="preserve">1.1. </w:t>
      </w:r>
      <w:proofErr w:type="gramStart"/>
      <w:r w:rsidR="00B74226">
        <w:rPr>
          <w:rFonts w:ascii="Arial" w:hAnsi="Arial" w:cs="Arial"/>
          <w:sz w:val="22"/>
          <w:szCs w:val="22"/>
        </w:rPr>
        <w:t>2022</w:t>
      </w:r>
      <w:r w:rsidRPr="002E0EAD">
        <w:rPr>
          <w:rFonts w:ascii="Arial" w:hAnsi="Arial" w:cs="Arial"/>
          <w:sz w:val="22"/>
          <w:szCs w:val="22"/>
        </w:rPr>
        <w:t xml:space="preserve"> .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25D5910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E1D11CE" w14:textId="77777777"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C40C875" w14:textId="58886BE7" w:rsidR="00131160" w:rsidRPr="00DD19E5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Cs/>
          <w:sz w:val="22"/>
          <w:szCs w:val="22"/>
        </w:rPr>
      </w:pPr>
      <w:r w:rsidRPr="00DD19E5">
        <w:rPr>
          <w:rFonts w:ascii="Arial" w:hAnsi="Arial" w:cs="Arial"/>
          <w:iCs/>
          <w:sz w:val="22"/>
          <w:szCs w:val="22"/>
        </w:rPr>
        <w:tab/>
      </w:r>
      <w:r w:rsidR="00B679FC">
        <w:rPr>
          <w:rFonts w:ascii="Arial" w:hAnsi="Arial" w:cs="Arial"/>
          <w:iCs/>
          <w:sz w:val="22"/>
          <w:szCs w:val="22"/>
        </w:rPr>
        <w:t xml:space="preserve"> </w:t>
      </w:r>
      <w:r w:rsidRPr="00DD19E5">
        <w:rPr>
          <w:rFonts w:ascii="Arial" w:hAnsi="Arial" w:cs="Arial"/>
          <w:iCs/>
          <w:sz w:val="22"/>
          <w:szCs w:val="22"/>
        </w:rPr>
        <w:tab/>
      </w:r>
      <w:r w:rsidR="00B679FC">
        <w:rPr>
          <w:rFonts w:ascii="Arial" w:hAnsi="Arial" w:cs="Arial"/>
          <w:iCs/>
          <w:sz w:val="22"/>
          <w:szCs w:val="22"/>
        </w:rPr>
        <w:t xml:space="preserve"> </w:t>
      </w:r>
    </w:p>
    <w:p w14:paraId="2C56E1F5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C27495A" w14:textId="6B05B1E7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DD19E5">
        <w:rPr>
          <w:rFonts w:ascii="Arial" w:hAnsi="Arial" w:cs="Arial"/>
          <w:sz w:val="22"/>
          <w:szCs w:val="22"/>
        </w:rPr>
        <w:t>Tomáš Hradský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DD19E5">
        <w:rPr>
          <w:rFonts w:ascii="Arial" w:hAnsi="Arial" w:cs="Arial"/>
          <w:sz w:val="22"/>
          <w:szCs w:val="22"/>
        </w:rPr>
        <w:t>Eva Procházková</w:t>
      </w:r>
    </w:p>
    <w:p w14:paraId="2A35B0E7" w14:textId="5634E71E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DD19E5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68D05207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3C1F797" w14:textId="55700BC0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DD19E5">
        <w:rPr>
          <w:rFonts w:ascii="Arial" w:hAnsi="Arial" w:cs="Arial"/>
          <w:sz w:val="22"/>
          <w:szCs w:val="22"/>
        </w:rPr>
        <w:t xml:space="preserve"> </w:t>
      </w:r>
      <w:r w:rsidR="000E0D24">
        <w:rPr>
          <w:rFonts w:ascii="Arial" w:hAnsi="Arial" w:cs="Arial"/>
          <w:sz w:val="22"/>
          <w:szCs w:val="22"/>
        </w:rPr>
        <w:t>15.12.2021</w:t>
      </w:r>
    </w:p>
    <w:p w14:paraId="13441913" w14:textId="29977440" w:rsidR="00A05EA6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420407">
        <w:rPr>
          <w:rFonts w:ascii="Arial" w:hAnsi="Arial" w:cs="Arial"/>
          <w:sz w:val="22"/>
          <w:szCs w:val="22"/>
        </w:rPr>
        <w:t xml:space="preserve"> 31.12.2021</w:t>
      </w:r>
    </w:p>
    <w:p w14:paraId="3E4927D8" w14:textId="3D0E1E2A" w:rsidR="00B74226" w:rsidRPr="00EB7FA0" w:rsidRDefault="00B7422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Zveřejnění vyhlášky bylo shodně provedeno způsobem umožňujícím dálkový přístup.</w:t>
      </w:r>
    </w:p>
    <w:sectPr w:rsidR="00B74226" w:rsidRPr="00EB7FA0" w:rsidSect="00EE56F0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CD616" w14:textId="77777777" w:rsidR="00C421FC" w:rsidRDefault="00C421FC">
      <w:r>
        <w:separator/>
      </w:r>
    </w:p>
  </w:endnote>
  <w:endnote w:type="continuationSeparator" w:id="0">
    <w:p w14:paraId="7735160B" w14:textId="77777777" w:rsidR="00C421FC" w:rsidRDefault="00C42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F88E0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1418">
      <w:rPr>
        <w:noProof/>
      </w:rPr>
      <w:t>5</w:t>
    </w:r>
    <w:r>
      <w:fldChar w:fldCharType="end"/>
    </w:r>
  </w:p>
  <w:p w14:paraId="26F2C6C7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8F364" w14:textId="77777777" w:rsidR="00C421FC" w:rsidRDefault="00C421FC">
      <w:r>
        <w:separator/>
      </w:r>
    </w:p>
  </w:footnote>
  <w:footnote w:type="continuationSeparator" w:id="0">
    <w:p w14:paraId="01B0977A" w14:textId="77777777" w:rsidR="00C421FC" w:rsidRDefault="00C421FC">
      <w:r>
        <w:continuationSeparator/>
      </w:r>
    </w:p>
  </w:footnote>
  <w:footnote w:id="1">
    <w:p w14:paraId="7DA23858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14:paraId="53588074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544BEFB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395F58AF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19D9FF94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5B2E879D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7">
    <w:p w14:paraId="23156A61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8">
    <w:p w14:paraId="079EC4A3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9">
    <w:p w14:paraId="70EA59EF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698912EB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1">
    <w:p w14:paraId="4AA7AD31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2">
    <w:p w14:paraId="1DAC1941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3">
    <w:p w14:paraId="6E518E07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4">
    <w:p w14:paraId="49C2A452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14:paraId="4B26A858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6">
    <w:p w14:paraId="2515078B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7">
    <w:p w14:paraId="32CF3597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5247B061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21"/>
  </w:num>
  <w:num w:numId="4">
    <w:abstractNumId w:val="8"/>
  </w:num>
  <w:num w:numId="5">
    <w:abstractNumId w:val="5"/>
  </w:num>
  <w:num w:numId="6">
    <w:abstractNumId w:val="26"/>
  </w:num>
  <w:num w:numId="7">
    <w:abstractNumId w:val="11"/>
  </w:num>
  <w:num w:numId="8">
    <w:abstractNumId w:val="12"/>
  </w:num>
  <w:num w:numId="9">
    <w:abstractNumId w:val="10"/>
  </w:num>
  <w:num w:numId="10">
    <w:abstractNumId w:val="0"/>
  </w:num>
  <w:num w:numId="11">
    <w:abstractNumId w:val="9"/>
  </w:num>
  <w:num w:numId="12">
    <w:abstractNumId w:val="6"/>
  </w:num>
  <w:num w:numId="13">
    <w:abstractNumId w:val="19"/>
  </w:num>
  <w:num w:numId="14">
    <w:abstractNumId w:val="2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4"/>
  </w:num>
  <w:num w:numId="19">
    <w:abstractNumId w:val="24"/>
  </w:num>
  <w:num w:numId="20">
    <w:abstractNumId w:val="16"/>
  </w:num>
  <w:num w:numId="21">
    <w:abstractNumId w:val="22"/>
  </w:num>
  <w:num w:numId="22">
    <w:abstractNumId w:val="3"/>
  </w:num>
  <w:num w:numId="23">
    <w:abstractNumId w:val="27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8"/>
  </w:num>
  <w:num w:numId="28">
    <w:abstractNumId w:val="2"/>
  </w:num>
  <w:num w:numId="29">
    <w:abstractNumId w:val="17"/>
  </w:num>
  <w:num w:numId="30">
    <w:abstractNumId w:val="1"/>
  </w:num>
  <w:num w:numId="31">
    <w:abstractNumId w:val="15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0D24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04F20"/>
    <w:rsid w:val="00412321"/>
    <w:rsid w:val="00420407"/>
    <w:rsid w:val="00420423"/>
    <w:rsid w:val="00420943"/>
    <w:rsid w:val="00421292"/>
    <w:rsid w:val="00421C92"/>
    <w:rsid w:val="0042639F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877CD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26A32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0A08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C198C"/>
    <w:rsid w:val="009C441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C616F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679FC"/>
    <w:rsid w:val="00B71306"/>
    <w:rsid w:val="00B74226"/>
    <w:rsid w:val="00B75719"/>
    <w:rsid w:val="00B806F8"/>
    <w:rsid w:val="00B82D08"/>
    <w:rsid w:val="00B86441"/>
    <w:rsid w:val="00B941DF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421FC"/>
    <w:rsid w:val="00C53646"/>
    <w:rsid w:val="00C54C28"/>
    <w:rsid w:val="00C63031"/>
    <w:rsid w:val="00C631F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D19E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E56F0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5E9A776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B7E2F-2570-4D48-AFB0-43BE64327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960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uzivatelx</cp:lastModifiedBy>
  <cp:revision>8</cp:revision>
  <cp:lastPrinted>2022-01-17T14:11:00Z</cp:lastPrinted>
  <dcterms:created xsi:type="dcterms:W3CDTF">2021-11-22T14:47:00Z</dcterms:created>
  <dcterms:modified xsi:type="dcterms:W3CDTF">2022-01-17T14:12:00Z</dcterms:modified>
</cp:coreProperties>
</file>