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40"/>
          <w:szCs w:val="40"/>
        </w:rPr>
        <w:t>O B E C   L U K A V E C</w:t>
      </w:r>
    </w:p>
    <w:p>
      <w:pPr>
        <w:pStyle w:val="Normal"/>
        <w:jc w:val="center"/>
        <w:rPr>
          <w:b/>
          <w:b/>
          <w:sz w:val="20"/>
          <w:szCs w:val="40"/>
        </w:rPr>
      </w:pPr>
      <w:r>
        <w:rPr>
          <w:b/>
          <w:sz w:val="20"/>
          <w:szCs w:val="40"/>
        </w:rPr>
      </w:r>
    </w:p>
    <w:p>
      <w:pPr>
        <w:pStyle w:val="Normal"/>
        <w:jc w:val="center"/>
        <w:rPr/>
      </w:pPr>
      <w:r>
        <w:rPr>
          <w:b/>
          <w:sz w:val="32"/>
        </w:rPr>
        <w:t>ZASTUPITELSTVO OBCE LUKAVEC</w:t>
      </w:r>
    </w:p>
    <w:p>
      <w:pPr>
        <w:pStyle w:val="Normal"/>
        <w:jc w:val="center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/>
      </w:pPr>
      <w:r>
        <w:rPr>
          <w:b/>
          <w:sz w:val="32"/>
          <w:szCs w:val="32"/>
        </w:rPr>
        <w:t>Obecně závazná vyhláška,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 xml:space="preserve">o místním poplatku </w:t>
      </w:r>
      <w:r>
        <w:rPr>
          <w:b/>
          <w:sz w:val="28"/>
          <w:szCs w:val="28"/>
        </w:rPr>
        <w:t>za odkládání komunálního odpadu z nemovité věci</w:t>
      </w:r>
    </w:p>
    <w:p>
      <w:pPr>
        <w:pStyle w:val="Nzevzkona"/>
        <w:tabs>
          <w:tab w:val="clear" w:pos="709"/>
          <w:tab w:val="left" w:pos="2977" w:leader="none"/>
        </w:tabs>
        <w:spacing w:before="0" w:after="0"/>
        <w:jc w:val="both"/>
        <w:rPr>
          <w:rFonts w:ascii="Times New Roman" w:hAnsi="Times New Roman" w:cs="Times New Roman"/>
          <w:b w:val="false"/>
          <w:b w:val="false"/>
          <w:bCs w:val="false"/>
          <w:color w:val="000000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0"/>
          <w:szCs w:val="20"/>
        </w:rPr>
      </w:r>
    </w:p>
    <w:p>
      <w:pPr>
        <w:pStyle w:val="Nzevzkona"/>
        <w:tabs>
          <w:tab w:val="clear" w:pos="709"/>
          <w:tab w:val="left" w:pos="2977" w:leader="none"/>
        </w:tabs>
        <w:spacing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</w:r>
    </w:p>
    <w:p>
      <w:pPr>
        <w:pStyle w:val="Odsazentlatextu"/>
        <w:ind w:left="0" w:hanging="0"/>
        <w:rPr/>
      </w:pPr>
      <w:r>
        <w:rPr>
          <w:i/>
        </w:rPr>
        <w:t xml:space="preserve">Zastupitelstvo obce </w:t>
      </w:r>
      <w:r>
        <w:rPr>
          <w:bCs/>
          <w:i/>
        </w:rPr>
        <w:t>Lukavec</w:t>
      </w:r>
      <w:r>
        <w:rPr>
          <w:b/>
          <w:bCs/>
          <w:i/>
        </w:rPr>
        <w:t xml:space="preserve"> </w:t>
      </w:r>
      <w:r>
        <w:rPr>
          <w:i/>
        </w:rPr>
        <w:t>se na svém zasedání dne 19. prosince 2022 usneslo usnesením č. 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2022/2/36</w:t>
      </w:r>
      <w:r>
        <w:rPr>
          <w:i/>
        </w:rPr>
        <w:t xml:space="preserve"> vydat na základě § 14 zákona č. 565/1990 Sb., o místních poplatcích, ve znění pozdějších předpisů (dále jen „zákon o místních poplatcích“), a v souladu s ustanovením § 10 písm. d) a § 84 odst. 2 písm. h) zákona č. 128/2000 Sb., 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Článek 1</w:t>
      </w:r>
    </w:p>
    <w:p>
      <w:pPr>
        <w:pStyle w:val="Normal"/>
        <w:jc w:val="center"/>
        <w:rPr/>
      </w:pPr>
      <w:r>
        <w:rPr>
          <w:b/>
        </w:rPr>
        <w:t>Úvodní ustanovení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Obec Lukavec touto vyhláškou zavádí místní poplatek za odkládání komunálního odpadu z nemovité věci (dále jen „poplatek“).</w:t>
      </w:r>
      <w:r>
        <w:rPr>
          <w:rStyle w:val="Ukotvenpoznmkypodarou"/>
        </w:rPr>
        <w:footnoteReference w:id="2"/>
      </w:r>
      <w:r>
        <w:rPr>
          <w:vertAlign w:val="superscript"/>
        </w:rPr>
        <w:t>)</w:t>
      </w:r>
    </w:p>
    <w:p>
      <w:pPr>
        <w:pStyle w:val="Zkladntext31"/>
        <w:numPr>
          <w:ilvl w:val="0"/>
          <w:numId w:val="4"/>
        </w:numPr>
        <w:spacing w:before="0" w:after="0"/>
        <w:jc w:val="both"/>
        <w:rPr/>
      </w:pPr>
      <w:r>
        <w:rPr>
          <w:sz w:val="24"/>
          <w:szCs w:val="24"/>
        </w:rPr>
        <w:t>Správcem poplatku je obecní úřad.</w:t>
      </w:r>
      <w:r>
        <w:rPr>
          <w:rStyle w:val="Ukotvenpoznmkypodarou"/>
          <w:sz w:val="24"/>
        </w:rPr>
        <w:footnoteReference w:id="3"/>
      </w:r>
      <w:r>
        <w:rPr>
          <w:sz w:val="24"/>
          <w:vertAlign w:val="superscript"/>
        </w:rPr>
        <w:t>)</w:t>
      </w:r>
    </w:p>
    <w:p>
      <w:pPr>
        <w:pStyle w:val="Normal"/>
        <w:numPr>
          <w:ilvl w:val="0"/>
          <w:numId w:val="4"/>
        </w:numPr>
        <w:rPr/>
      </w:pPr>
      <w:r>
        <w:rPr/>
        <w:t>Poplatkové období</w:t>
      </w:r>
      <w:r>
        <w:rPr>
          <w:rStyle w:val="Ukotvenpoznmkypodarou"/>
        </w:rPr>
        <w:footnoteReference w:id="4"/>
      </w:r>
      <w:r>
        <w:rPr>
          <w:vertAlign w:val="superscript"/>
        </w:rPr>
        <w:t>)</w:t>
      </w:r>
      <w:r>
        <w:rPr/>
        <w:t xml:space="preserve"> a dílčí období</w:t>
      </w:r>
      <w:r>
        <w:rPr>
          <w:rStyle w:val="Ukotvenpoznmkypodarou"/>
        </w:rPr>
        <w:footnoteReference w:id="5"/>
      </w:r>
      <w:r>
        <w:rPr>
          <w:vertAlign w:val="superscript"/>
        </w:rPr>
        <w:t>)</w:t>
      </w:r>
      <w:r>
        <w:rPr/>
        <w:t xml:space="preserve"> vymezuje zákon.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>Článek 2</w:t>
      </w:r>
    </w:p>
    <w:p>
      <w:pPr>
        <w:pStyle w:val="Normal"/>
        <w:jc w:val="center"/>
        <w:rPr/>
      </w:pPr>
      <w:r>
        <w:rPr>
          <w:b/>
        </w:rPr>
        <w:t>Poplatník, předmět poplatku, plátce poplatku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3"/>
        </w:numPr>
        <w:rPr/>
      </w:pPr>
      <w:r>
        <w:rPr/>
        <w:t>Poplatníka vymezuje zákon.</w:t>
      </w:r>
      <w:r>
        <w:rPr>
          <w:rStyle w:val="Ukotvenpoznmkypodarou"/>
        </w:rPr>
        <w:footnoteReference w:id="6"/>
      </w:r>
      <w:r>
        <w:rPr>
          <w:vertAlign w:val="superscript"/>
        </w:rPr>
        <w:t>)</w:t>
      </w:r>
    </w:p>
    <w:p>
      <w:pPr>
        <w:pStyle w:val="Normal"/>
        <w:numPr>
          <w:ilvl w:val="0"/>
          <w:numId w:val="3"/>
        </w:numPr>
        <w:rPr/>
      </w:pPr>
      <w:r>
        <w:rPr/>
        <w:t>Předmět poplatku vymezuje zákon.</w:t>
      </w:r>
      <w:r>
        <w:rPr>
          <w:rStyle w:val="Ukotvenpoznmkypodarou"/>
        </w:rPr>
        <w:footnoteReference w:id="7"/>
      </w:r>
      <w:r>
        <w:rPr>
          <w:vertAlign w:val="superscript"/>
        </w:rPr>
        <w:t>)</w:t>
      </w:r>
    </w:p>
    <w:p>
      <w:pPr>
        <w:pStyle w:val="Normal"/>
        <w:numPr>
          <w:ilvl w:val="0"/>
          <w:numId w:val="3"/>
        </w:numPr>
        <w:rPr/>
      </w:pPr>
      <w:r>
        <w:rPr/>
        <w:t>Plátce poplatku vymezuje zákon.</w:t>
      </w:r>
      <w:r>
        <w:rPr>
          <w:rStyle w:val="Ukotvenpoznmkypodarou"/>
        </w:rPr>
        <w:footnoteReference w:id="8"/>
      </w:r>
      <w:r>
        <w:rPr>
          <w:vertAlign w:val="superscript"/>
        </w:rPr>
        <w:t>)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3780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tabs>
          <w:tab w:val="clear" w:pos="709"/>
          <w:tab w:val="left" w:pos="3780" w:leader="none"/>
        </w:tabs>
        <w:jc w:val="center"/>
        <w:rPr/>
      </w:pPr>
      <w:r>
        <w:rPr>
          <w:b/>
        </w:rPr>
        <w:t>Článek 3</w:t>
      </w:r>
    </w:p>
    <w:p>
      <w:pPr>
        <w:pStyle w:val="Normal"/>
        <w:tabs>
          <w:tab w:val="clear" w:pos="709"/>
          <w:tab w:val="left" w:pos="3780" w:leader="none"/>
        </w:tabs>
        <w:jc w:val="center"/>
        <w:rPr/>
      </w:pPr>
      <w:r>
        <w:rPr>
          <w:b/>
        </w:rPr>
        <w:t>Ohlašovací povinnost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LOnormal"/>
        <w:numPr>
          <w:ilvl w:val="0"/>
          <w:numId w:val="2"/>
        </w:numPr>
        <w:jc w:val="both"/>
        <w:rPr/>
      </w:pPr>
      <w:r>
        <w:rPr>
          <w:bCs/>
          <w:szCs w:val="24"/>
        </w:rPr>
        <w:t>Plátce podává ohlášení do 15 dnů od okamžiku, kdy se stal plátcem.</w:t>
      </w:r>
      <w:r>
        <w:rPr>
          <w:rStyle w:val="Ukotvenpoznmkypodarou"/>
        </w:rPr>
        <w:footnoteReference w:id="9"/>
      </w:r>
      <w:r>
        <w:rPr>
          <w:vertAlign w:val="superscript"/>
        </w:rPr>
        <w:t>)</w:t>
      </w:r>
    </w:p>
    <w:p>
      <w:pPr>
        <w:pStyle w:val="LOnormal"/>
        <w:numPr>
          <w:ilvl w:val="0"/>
          <w:numId w:val="2"/>
        </w:numPr>
        <w:jc w:val="both"/>
        <w:rPr/>
      </w:pPr>
      <w:r>
        <w:rPr/>
        <w:t>Obsah ohlášení upravuje zákon o místních poplatcích.</w:t>
      </w:r>
      <w:r>
        <w:rPr>
          <w:rStyle w:val="Ukotvenpoznmkypodarou"/>
        </w:rPr>
        <w:footnoteReference w:id="10"/>
      </w:r>
      <w:r>
        <w:rPr>
          <w:szCs w:val="24"/>
          <w:vertAlign w:val="superscript"/>
        </w:rPr>
        <w:t>)</w:t>
      </w:r>
    </w:p>
    <w:p>
      <w:pPr>
        <w:pStyle w:val="LOnormal"/>
        <w:numPr>
          <w:ilvl w:val="0"/>
          <w:numId w:val="2"/>
        </w:numPr>
        <w:jc w:val="both"/>
        <w:rPr/>
      </w:pPr>
      <w:r>
        <w:rPr>
          <w:bCs/>
          <w:szCs w:val="24"/>
        </w:rPr>
        <w:t>Postup při změně údajů uvedených v ohlášení upravuje zákon.</w:t>
      </w:r>
      <w:r>
        <w:rPr>
          <w:rStyle w:val="Ukotvenpoznmkypodarou"/>
          <w:bCs/>
          <w:szCs w:val="24"/>
        </w:rPr>
        <w:footnoteReference w:id="11"/>
      </w:r>
      <w:r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>
      <w:pPr>
        <w:pStyle w:val="Normal"/>
        <w:tabs>
          <w:tab w:val="clear" w:pos="709"/>
          <w:tab w:val="left" w:pos="3780" w:leader="none"/>
        </w:tabs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3780" w:leader="none"/>
        </w:tabs>
        <w:jc w:val="center"/>
        <w:rPr/>
      </w:pPr>
      <w:r>
        <w:rPr>
          <w:b/>
        </w:rPr>
        <w:t>Článek 4</w:t>
      </w:r>
    </w:p>
    <w:p>
      <w:pPr>
        <w:pStyle w:val="Normal"/>
        <w:tabs>
          <w:tab w:val="clear" w:pos="709"/>
          <w:tab w:val="left" w:pos="3780" w:leader="none"/>
        </w:tabs>
        <w:jc w:val="center"/>
        <w:rPr/>
      </w:pPr>
      <w:r>
        <w:rPr>
          <w:b/>
        </w:rPr>
        <w:t>Základ poplatku, sazba poplatku a výpočet poplatku</w:t>
      </w:r>
    </w:p>
    <w:p>
      <w:pPr>
        <w:pStyle w:val="Normal"/>
        <w:tabs>
          <w:tab w:val="clear" w:pos="709"/>
          <w:tab w:val="left" w:pos="3780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780" w:leader="none"/>
        </w:tabs>
        <w:jc w:val="both"/>
        <w:rPr/>
      </w:pPr>
      <w:r>
        <w:rPr/>
        <w:t>Základem dílčího poplatku za odkládání komunálního odpadu z nemovité věci za dílčí období je hmotnost odpadu odloženého z nemovité věci za toto dílčí období v kilogramech připadajícího na poplatníka.</w:t>
      </w:r>
      <w:r>
        <w:rPr>
          <w:rStyle w:val="Ukotvenpoznmkypodarou"/>
        </w:rPr>
        <w:footnoteReference w:id="12"/>
      </w:r>
      <w:r>
        <w:rPr>
          <w:vertAlign w:val="superscript"/>
        </w:rPr>
        <w:t>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780" w:leader="none"/>
        </w:tabs>
        <w:jc w:val="both"/>
        <w:rPr/>
      </w:pPr>
      <w:r>
        <w:rPr/>
        <w:t xml:space="preserve">Sazba činí </w:t>
      </w:r>
      <w:r>
        <w:rPr>
          <w:b/>
        </w:rPr>
        <w:t>3,20</w:t>
      </w:r>
      <w:r>
        <w:rPr/>
        <w:t xml:space="preserve"> Kč za kilogram.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780" w:leader="none"/>
        </w:tabs>
        <w:jc w:val="both"/>
        <w:rPr/>
      </w:pPr>
      <w:r>
        <w:rPr/>
        <w:t>Postup pro zjištění výše poplatku stanoví zákon.</w:t>
      </w:r>
      <w:r>
        <w:rPr>
          <w:rStyle w:val="Ukotvenpoznmkypodarou"/>
        </w:rPr>
        <w:footnoteReference w:id="13"/>
      </w:r>
      <w:r>
        <w:rPr>
          <w:vertAlign w:val="superscript"/>
        </w:rPr>
        <w:t>)</w:t>
      </w:r>
      <w:bookmarkStart w:id="0" w:name="_GoBack"/>
      <w:bookmarkEnd w:id="0"/>
    </w:p>
    <w:p>
      <w:pPr>
        <w:pStyle w:val="Normal"/>
        <w:rPr>
          <w:highlight w:val="green"/>
        </w:rPr>
      </w:pPr>
      <w:r>
        <w:rPr>
          <w:highlight w:val="green"/>
        </w:rPr>
      </w:r>
      <w:r>
        <w:br w:type="page"/>
      </w:r>
    </w:p>
    <w:p>
      <w:pPr>
        <w:pStyle w:val="Tlotextu"/>
        <w:spacing w:before="0" w:after="0"/>
        <w:jc w:val="center"/>
        <w:rPr/>
      </w:pPr>
      <w:r>
        <w:rPr>
          <w:b/>
          <w:bCs/>
        </w:rPr>
        <w:t>Článek 5</w:t>
      </w:r>
    </w:p>
    <w:p>
      <w:pPr>
        <w:pStyle w:val="Tlotextu"/>
        <w:spacing w:before="0" w:after="0"/>
        <w:jc w:val="center"/>
        <w:rPr/>
      </w:pPr>
      <w:r>
        <w:rPr>
          <w:b/>
          <w:bCs/>
        </w:rPr>
        <w:t>Splatnost poplatku</w:t>
      </w:r>
    </w:p>
    <w:p>
      <w:pPr>
        <w:pStyle w:val="Tlotextu"/>
        <w:spacing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szCs w:val="22"/>
        </w:rPr>
        <w:t>Splatnost upravuje zákon.</w:t>
      </w:r>
      <w:r>
        <w:rPr>
          <w:rStyle w:val="Ukotvenpoznmkypodarou"/>
        </w:rPr>
        <w:footnoteReference w:id="14"/>
      </w:r>
      <w:r>
        <w:rPr>
          <w:vertAlign w:val="superscript"/>
        </w:rPr>
        <w:t>)</w:t>
      </w:r>
    </w:p>
    <w:p>
      <w:pPr>
        <w:pStyle w:val="Normal"/>
        <w:tabs>
          <w:tab w:val="clear" w:pos="709"/>
          <w:tab w:val="left" w:pos="3780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9"/>
          <w:tab w:val="left" w:pos="3780" w:leader="none"/>
        </w:tabs>
        <w:jc w:val="center"/>
        <w:rPr/>
      </w:pPr>
      <w:r>
        <w:rPr>
          <w:b/>
        </w:rPr>
        <w:t>Článek 6</w:t>
        <w:br/>
        <w:t>Zrušovací ustanovení</w:t>
      </w:r>
    </w:p>
    <w:p>
      <w:pPr>
        <w:pStyle w:val="Normal"/>
        <w:tabs>
          <w:tab w:val="clear" w:pos="709"/>
          <w:tab w:val="left" w:pos="3780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NormalWeb"/>
        <w:spacing w:before="0" w:after="0"/>
        <w:rPr/>
      </w:pPr>
      <w:r>
        <w:rPr>
          <w:rFonts w:cs="Times New Roman" w:ascii="Times New Roman" w:hAnsi="Times New Roman"/>
        </w:rPr>
        <w:t>Zrušuje se obecně závazná vyhláška č. 2/2021, o místním poplatku za odkládání komunálního odpadu z nemovité věci, ze dne 13. 12. 2021.</w:t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3780" w:leader="none"/>
        </w:tabs>
        <w:jc w:val="center"/>
        <w:rPr/>
      </w:pPr>
      <w:r>
        <w:rPr>
          <w:b/>
        </w:rPr>
        <w:t>Článek 7</w:t>
        <w:br/>
        <w:t>Účinnost</w:t>
      </w:r>
    </w:p>
    <w:p>
      <w:pPr>
        <w:pStyle w:val="Normal"/>
        <w:tabs>
          <w:tab w:val="clear" w:pos="709"/>
          <w:tab w:val="left" w:pos="3780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NormalWeb"/>
        <w:spacing w:before="0" w:after="0"/>
        <w:rPr/>
      </w:pPr>
      <w:r>
        <w:rPr>
          <w:rFonts w:cs="Times New Roman" w:ascii="Times New Roman" w:hAnsi="Times New Roman"/>
        </w:rPr>
        <w:t>Tato vyhláška nabývá účinnosti dnem 1. 1. 2023.</w:t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/>
      </w:pPr>
      <w:r>
        <w:rPr/>
      </w:r>
    </w:p>
    <w:tbl>
      <w:tblPr>
        <w:tblW w:w="921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05"/>
        <w:gridCol w:w="4604"/>
      </w:tblGrid>
      <w:tr>
        <w:trPr>
          <w:trHeight w:val="80" w:hRule="atLeast"/>
        </w:trPr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_____________________________</w:t>
            </w:r>
          </w:p>
        </w:tc>
        <w:tc>
          <w:tcPr>
            <w:tcW w:w="460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_____________________________</w:t>
            </w:r>
          </w:p>
        </w:tc>
      </w:tr>
      <w:tr>
        <w:trPr>
          <w:trHeight w:val="1088" w:hRule="atLeast"/>
        </w:trPr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Tomáš  Průša, v. r.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místostarosta</w:t>
            </w:r>
          </w:p>
        </w:tc>
        <w:tc>
          <w:tcPr>
            <w:tcW w:w="460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Ing. Tomáš Šenfeldr, v. r.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starosta</w:t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Arial Unicode MS">
    <w:charset w:val="ee"/>
    <w:family w:val="roman"/>
    <w:pitch w:val="variable"/>
  </w:font>
  <w:font w:name="Tahoma">
    <w:charset w:val="ee"/>
    <w:family w:val="roman"/>
    <w:pitch w:val="variable"/>
  </w:font>
  <w:font w:name="Calibri">
    <w:altName w:val="sans-serif"/>
    <w:charset w:val="ee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ind w:left="198" w:hanging="198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§ 10d odst. 1 písm. b) zákona o místních poplatcích (</w:t>
      </w:r>
      <w:r>
        <w:rPr>
          <w:i/>
        </w:rPr>
        <w:t>Poplatkem za komunální odpad je poplatek za odkládání komunálního odpadu z nemovité věci.)</w:t>
      </w:r>
    </w:p>
  </w:footnote>
  <w:footnote w:id="3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>)</w:t>
      </w:r>
      <w:r>
        <w:rPr/>
        <w:t xml:space="preserve"> § 15 odst. 1 zákona o místních poplatcích (</w:t>
      </w:r>
      <w:r>
        <w:rPr>
          <w:i/>
        </w:rPr>
        <w:t>Správcem poplatku je obecní úřad.</w:t>
      </w:r>
      <w:r>
        <w:rPr/>
        <w:t>)</w:t>
      </w:r>
    </w:p>
  </w:footnote>
  <w:footnote w:id="4">
    <w:p>
      <w:pPr>
        <w:pStyle w:val="Normal"/>
        <w:ind w:left="198" w:hanging="198"/>
        <w:rPr/>
      </w:pPr>
      <w:r>
        <w:rPr>
          <w:rStyle w:val="Znakypropoznmkupodarou"/>
        </w:rPr>
        <w:footnoteRef/>
      </w:r>
      <w:r>
        <w:rPr>
          <w:sz w:val="20"/>
          <w:szCs w:val="20"/>
          <w:vertAlign w:val="superscript"/>
        </w:rPr>
        <w:tab/>
        <w:t>)</w:t>
      </w:r>
      <w:r>
        <w:rPr>
          <w:sz w:val="20"/>
          <w:szCs w:val="20"/>
        </w:rPr>
        <w:t xml:space="preserve"> § 10o odst. 1 zákona o místních poplatcích (</w:t>
      </w:r>
      <w:r>
        <w:rPr>
          <w:i/>
          <w:sz w:val="20"/>
          <w:szCs w:val="20"/>
        </w:rPr>
        <w:t>Poplatkovým obdobím poplatků za komunální odpad je kalendářní  rok.)</w:t>
      </w:r>
    </w:p>
  </w:footnote>
  <w:footnote w:id="5">
    <w:p>
      <w:pPr>
        <w:pStyle w:val="Normal"/>
        <w:ind w:left="198" w:hanging="198"/>
        <w:jc w:val="both"/>
        <w:rPr/>
      </w:pPr>
      <w:r>
        <w:rPr>
          <w:rStyle w:val="Znakypropoznmkupodarou"/>
        </w:rPr>
        <w:footnoteRef/>
      </w:r>
      <w:r>
        <w:rPr>
          <w:sz w:val="20"/>
          <w:szCs w:val="20"/>
          <w:vertAlign w:val="superscript"/>
        </w:rPr>
        <w:tab/>
        <w:t>)</w:t>
      </w:r>
      <w:r>
        <w:rPr>
          <w:sz w:val="20"/>
          <w:szCs w:val="20"/>
        </w:rPr>
        <w:t xml:space="preserve"> § 10o odst. 2 zákona o místních poplatcích (</w:t>
      </w:r>
      <w:r>
        <w:rPr>
          <w:i/>
          <w:sz w:val="20"/>
          <w:szCs w:val="20"/>
        </w:rPr>
        <w:t>Dílčím obdobím poplatků za komunální odpad je kalendářní měsíc.)</w:t>
      </w:r>
    </w:p>
  </w:footnote>
  <w:footnote w:id="6">
    <w:p>
      <w:pPr>
        <w:pStyle w:val="Normal"/>
        <w:ind w:left="198" w:hanging="198"/>
        <w:jc w:val="both"/>
        <w:rPr/>
      </w:pPr>
      <w:r>
        <w:rPr>
          <w:rStyle w:val="Znakypropoznmkupodarou"/>
        </w:rPr>
        <w:footnoteRef/>
      </w:r>
      <w:r>
        <w:rPr>
          <w:sz w:val="20"/>
          <w:szCs w:val="20"/>
          <w:vertAlign w:val="superscript"/>
        </w:rPr>
        <w:tab/>
        <w:t>)</w:t>
      </w:r>
      <w:r>
        <w:rPr>
          <w:sz w:val="20"/>
          <w:szCs w:val="20"/>
        </w:rPr>
        <w:t xml:space="preserve"> § 10i zákona o místních poplatcích (</w:t>
      </w:r>
      <w:r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obce.)</w:t>
      </w:r>
    </w:p>
  </w:footnote>
  <w:footnote w:id="7">
    <w:p>
      <w:pPr>
        <w:pStyle w:val="Normal"/>
        <w:ind w:left="198" w:hanging="198"/>
        <w:jc w:val="both"/>
        <w:rPr/>
      </w:pPr>
      <w:r>
        <w:rPr>
          <w:rStyle w:val="Znakypropoznmkupodarou"/>
        </w:rPr>
        <w:footnoteRef/>
      </w:r>
      <w:r>
        <w:rPr>
          <w:sz w:val="20"/>
          <w:szCs w:val="20"/>
          <w:vertAlign w:val="superscript"/>
        </w:rPr>
        <w:tab/>
        <w:t>)</w:t>
      </w:r>
      <w:r>
        <w:rPr>
          <w:sz w:val="20"/>
          <w:szCs w:val="20"/>
        </w:rPr>
        <w:t xml:space="preserve"> § 10j zákona o místních poplatcích (</w:t>
      </w:r>
      <w:r>
        <w:rPr>
          <w:i/>
          <w:sz w:val="20"/>
          <w:szCs w:val="20"/>
        </w:rPr>
        <w:t xml:space="preserve">Poplatníkem poplatku za odkládání komunálního odpadu z nemovité věci je </w:t>
      </w:r>
    </w:p>
    <w:p>
      <w:pPr>
        <w:pStyle w:val="Normal"/>
        <w:ind w:left="198" w:hanging="0"/>
        <w:jc w:val="both"/>
        <w:rPr/>
      </w:pPr>
      <w:r>
        <w:rPr>
          <w:i/>
          <w:sz w:val="20"/>
          <w:szCs w:val="20"/>
        </w:rPr>
        <w:t>a) fyzická osoba, která má v nemovité věci bydliště, nebo</w:t>
      </w:r>
    </w:p>
    <w:p>
      <w:pPr>
        <w:pStyle w:val="Normal"/>
        <w:ind w:left="198" w:hanging="0"/>
        <w:jc w:val="both"/>
        <w:rPr/>
      </w:pPr>
      <w:r>
        <w:rPr>
          <w:i/>
          <w:sz w:val="20"/>
          <w:szCs w:val="20"/>
        </w:rPr>
        <w:t>b) vlastník nemovité věci, ve které nemá bydliště žádná fyzická osoba.)</w:t>
      </w:r>
    </w:p>
  </w:footnote>
  <w:footnote w:id="8">
    <w:p>
      <w:pPr>
        <w:pStyle w:val="Normal"/>
        <w:ind w:left="198" w:hanging="198"/>
        <w:jc w:val="both"/>
        <w:rPr/>
      </w:pPr>
      <w:r>
        <w:rPr>
          <w:rStyle w:val="Znakypropoznmkupodarou"/>
        </w:rPr>
        <w:footnoteRef/>
      </w:r>
      <w:r>
        <w:rPr>
          <w:sz w:val="20"/>
          <w:szCs w:val="20"/>
          <w:vertAlign w:val="superscript"/>
        </w:rPr>
        <w:tab/>
        <w:t>)</w:t>
      </w:r>
      <w:r>
        <w:rPr>
          <w:sz w:val="20"/>
          <w:szCs w:val="20"/>
        </w:rPr>
        <w:t xml:space="preserve"> § 10n odst. 1 zákona o místních poplatcích (</w:t>
      </w:r>
      <w:r>
        <w:rPr>
          <w:i/>
          <w:sz w:val="20"/>
          <w:szCs w:val="20"/>
        </w:rPr>
        <w:t>Plátcem poplatku za odkládání komunálního odpadu z nemovité věci je</w:t>
      </w:r>
    </w:p>
    <w:p>
      <w:pPr>
        <w:pStyle w:val="Normal"/>
        <w:ind w:left="198" w:hanging="0"/>
        <w:jc w:val="both"/>
        <w:rPr/>
      </w:pPr>
      <w:r>
        <w:rPr>
          <w:i/>
          <w:sz w:val="20"/>
          <w:szCs w:val="20"/>
        </w:rPr>
        <w:t>a) společenství vlastníků jednotek, pokud pro dům vzniklo, nebo</w:t>
      </w:r>
    </w:p>
    <w:p>
      <w:pPr>
        <w:pStyle w:val="Normal"/>
        <w:ind w:left="198" w:hanging="198"/>
        <w:jc w:val="both"/>
        <w:rPr/>
      </w:pP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b) vlastník nemovité věci v ostatních případech.)</w:t>
      </w:r>
    </w:p>
    <w:p>
      <w:pPr>
        <w:pStyle w:val="Normal"/>
        <w:ind w:left="198" w:hanging="198"/>
        <w:jc w:val="both"/>
        <w:rPr/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 zákona o místních poplatcích (</w:t>
      </w:r>
      <w:r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>
      <w:pPr>
        <w:pStyle w:val="Poznmkapodarou"/>
        <w:ind w:left="198" w:hanging="198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§ 14a odst. 1 zákona o místních poplatcích (</w:t>
      </w:r>
      <w:r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>
        <w:rPr/>
        <w:t>)</w:t>
      </w:r>
    </w:p>
  </w:footnote>
  <w:footnote w:id="10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>)</w:t>
      </w:r>
      <w:r>
        <w:rPr/>
        <w:t xml:space="preserve"> § 14a odst. 2, 3 a 5 zákona o místních poplatcích: (</w:t>
      </w:r>
      <w:r>
        <w:rPr>
          <w:i/>
        </w:rPr>
        <w:t>2) V ohlášení plátce uvede</w:t>
      </w:r>
    </w:p>
    <w:p>
      <w:pPr>
        <w:pStyle w:val="Poznmkapodarou"/>
        <w:tabs>
          <w:tab w:val="clear" w:pos="709"/>
          <w:tab w:val="left" w:pos="284" w:leader="none"/>
        </w:tabs>
        <w:ind w:left="284" w:hanging="0"/>
        <w:jc w:val="both"/>
        <w:rPr/>
      </w:pPr>
      <w:r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Poznmkapodarou"/>
        <w:ind w:left="284" w:firstLine="1"/>
        <w:jc w:val="both"/>
        <w:rPr/>
      </w:pPr>
      <w:r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>
      <w:pPr>
        <w:pStyle w:val="Poznmkapodarou"/>
        <w:ind w:left="284" w:hanging="0"/>
        <w:jc w:val="both"/>
        <w:rPr/>
      </w:pPr>
      <w:r>
        <w:rPr>
          <w:i/>
        </w:rPr>
        <w:t>c) údaje rozhodné pro stanovení výše poplatku.</w:t>
      </w:r>
    </w:p>
    <w:p>
      <w:pPr>
        <w:pStyle w:val="Poznmkapodarou"/>
        <w:ind w:left="284" w:hanging="0"/>
        <w:jc w:val="both"/>
        <w:rPr/>
      </w:pPr>
      <w:r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>
      <w:pPr>
        <w:pStyle w:val="Poznmkapodarou"/>
        <w:ind w:left="284" w:hanging="0"/>
        <w:jc w:val="both"/>
        <w:rPr/>
      </w:pPr>
      <w:r>
        <w:rPr>
          <w:i/>
        </w:rPr>
        <w:t>5) 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/>
        <w:t>)</w:t>
      </w:r>
    </w:p>
  </w:footnote>
  <w:footnote w:id="11">
    <w:p>
      <w:pPr>
        <w:pStyle w:val="Poznmkapodarou"/>
        <w:ind w:left="198" w:hanging="198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§ 14a odst. 4 zákona o místních poplatcích (</w:t>
      </w:r>
      <w:r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2">
    <w:p>
      <w:pPr>
        <w:pStyle w:val="Poznmkapodarou"/>
        <w:ind w:left="198" w:hanging="198"/>
        <w:jc w:val="both"/>
        <w:rPr>
          <w:i/>
          <w:i/>
        </w:rPr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> § 10k odst. 3 zákona o místních poplatcích (</w:t>
      </w:r>
      <w:r>
        <w:rPr>
          <w:i/>
        </w:rPr>
        <w:t>Hmotností odpadu odloženého z nemovité věci za dílčí období připadající na poplatníka je</w:t>
      </w:r>
    </w:p>
    <w:p>
      <w:pPr>
        <w:pStyle w:val="Poznmkapodarou"/>
        <w:ind w:left="198" w:hanging="0"/>
        <w:jc w:val="both"/>
        <w:rPr>
          <w:i/>
          <w:i/>
        </w:rPr>
      </w:pPr>
      <w:r>
        <w:rPr>
          <w:i/>
        </w:rPr>
        <w:t>a) podíl</w:t>
      </w:r>
    </w:p>
    <w:p>
      <w:pPr>
        <w:pStyle w:val="Poznmkapodarou"/>
        <w:ind w:left="198" w:hanging="0"/>
        <w:jc w:val="both"/>
        <w:rPr>
          <w:i/>
          <w:i/>
        </w:rPr>
      </w:pPr>
      <w:r>
        <w:rPr>
          <w:i/>
        </w:rPr>
        <w:t>1. hmotnosti odpadu odloženého z této nemovité věci za dílčí období a</w:t>
      </w:r>
    </w:p>
    <w:p>
      <w:pPr>
        <w:pStyle w:val="Poznmkapodarou"/>
        <w:ind w:left="198" w:hanging="0"/>
        <w:jc w:val="both"/>
        <w:rPr>
          <w:i/>
          <w:i/>
        </w:rPr>
      </w:pPr>
      <w:r>
        <w:rPr>
          <w:i/>
        </w:rPr>
        <w:t>2. počtu fyzických osob, které v této nemovité věci mají bydliště na konci dílčího období, nebo</w:t>
      </w:r>
    </w:p>
    <w:p>
      <w:pPr>
        <w:pStyle w:val="Poznmkapodarou"/>
        <w:ind w:left="198" w:hanging="198"/>
        <w:jc w:val="both"/>
        <w:rPr>
          <w:lang w:val="cs-CZ"/>
        </w:rPr>
      </w:pPr>
      <w:r>
        <w:rPr>
          <w:i/>
        </w:rPr>
        <w:t xml:space="preserve"> </w:t>
      </w:r>
      <w:r>
        <w:rPr>
          <w:i/>
        </w:rPr>
        <w:t>b) hmotnost odpadu odloženého z této nemovité věci za dílčí období v případě, že v nemovité věci nemá bydliště žádná fyzická osoba.</w:t>
      </w:r>
      <w:r>
        <w:rPr>
          <w:lang w:val="cs-CZ"/>
        </w:rPr>
        <w:t>)</w:t>
      </w:r>
    </w:p>
  </w:footnote>
  <w:footnote w:id="13">
    <w:p>
      <w:pPr>
        <w:pStyle w:val="Poznmkapodarou"/>
        <w:ind w:left="198" w:hanging="198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§ 10m odst. 1 zákona o místních poplatcích (</w:t>
      </w:r>
      <w:r>
        <w:rPr>
          <w:i/>
        </w:rPr>
        <w:t>Poplatek za odkládání komunálního odpadu z nemovité věci se vypočte jako součet dílčích poplatků za jednotlivá dílčí období, na jejichž konci</w:t>
      </w:r>
    </w:p>
    <w:p>
      <w:pPr>
        <w:pStyle w:val="Poznmkapodarou"/>
        <w:ind w:left="198" w:hanging="198"/>
        <w:jc w:val="both"/>
        <w:rPr/>
      </w:pPr>
      <w:r>
        <w:rPr>
          <w:i/>
        </w:rPr>
        <w:t xml:space="preserve"> </w:t>
      </w:r>
      <w:r>
        <w:rPr>
          <w:i/>
        </w:rPr>
        <w:t>a) měl poplatník v nemovité věci bydliště, nebo</w:t>
      </w:r>
    </w:p>
    <w:p>
      <w:pPr>
        <w:pStyle w:val="Poznmkapodarou"/>
        <w:ind w:left="198" w:hanging="0"/>
        <w:jc w:val="both"/>
        <w:rPr/>
      </w:pPr>
      <w:r>
        <w:rPr>
          <w:i/>
        </w:rPr>
        <w:t>b) neměla v nemovité věci bydliště žádná fyzická osoba v případě, že poplatníkem je vlastník této nemovité věci.)</w:t>
      </w:r>
    </w:p>
    <w:p>
      <w:pPr>
        <w:pStyle w:val="Poznmkapodarou"/>
        <w:ind w:left="198" w:hanging="0"/>
        <w:jc w:val="both"/>
        <w:rPr/>
      </w:pPr>
      <w:r>
        <w:rPr/>
        <w:t>§ 10m odst. 2 zákona o místních poplatcích (</w:t>
      </w:r>
      <w:r>
        <w:rPr>
          <w:i/>
        </w:rPr>
        <w:t>Dílčí poplatek za dílčí období se vypočte jako součin základu dílčího poplatku zaokrouhleného na celé kilogramy nebo litry nahoru a sazby pro tento základ.</w:t>
      </w:r>
      <w:r>
        <w:rPr/>
        <w:t>)</w:t>
      </w:r>
    </w:p>
  </w:footnote>
  <w:footnote w:id="14">
    <w:p>
      <w:pPr>
        <w:pStyle w:val="Poznmkapodarou"/>
        <w:ind w:left="198" w:hanging="198"/>
        <w:jc w:val="both"/>
        <w:rPr>
          <w:lang w:val="cs-CZ"/>
        </w:rPr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</w:t>
      </w:r>
      <w:r>
        <w:rPr>
          <w:lang w:val="cs-CZ"/>
        </w:rPr>
        <w:t>§ 11 odst. 4 zákona o místních poplatcích (</w:t>
      </w:r>
      <w:r>
        <w:rPr>
          <w:i/>
        </w:rPr>
        <w:t>Pokud obec zavedla poplatek za odkládání komunálního odpadu z</w:t>
      </w:r>
      <w:r>
        <w:rPr>
          <w:i/>
          <w:lang w:val="cs-CZ"/>
        </w:rPr>
        <w:t> </w:t>
      </w:r>
      <w:r>
        <w:rPr>
          <w:i/>
        </w:rPr>
        <w:t>nemovité věci a zvolila v obecně závazné vyhlášce základ dílčího poplatku podle § 10k odst. 1 písm. a) nebo b), vyměří správce poplatku plátci poplatek platebním výměrem nebo hromadným předpisným seznamem. Není-li takový plátce, vyměří poplatek správce poplatku poplatníkovi. Poplatek je splatný ve lhůtě 30 dnů ode</w:t>
      </w:r>
      <w:r>
        <w:rPr>
          <w:i/>
          <w:lang w:val="cs-CZ"/>
        </w:rPr>
        <w:t> </w:t>
      </w:r>
      <w:r>
        <w:rPr>
          <w:i/>
        </w:rPr>
        <w:t>dne doručení platebního výměru nebo hromadného předpisného seznamu. Pokud plátce neodvede nebo</w:t>
      </w:r>
      <w:r>
        <w:rPr>
          <w:i/>
          <w:lang w:val="cs-CZ"/>
        </w:rPr>
        <w:t> </w:t>
      </w:r>
      <w:r>
        <w:rPr>
          <w:i/>
        </w:rPr>
        <w:t>poplatník nezaplatí tento poplatek včas, může jim správce poplatku vyměřit platebním výměrem nebo</w:t>
      </w:r>
      <w:r>
        <w:rPr>
          <w:i/>
          <w:lang w:val="cs-CZ"/>
        </w:rPr>
        <w:t> </w:t>
      </w:r>
      <w:r>
        <w:rPr>
          <w:i/>
        </w:rPr>
        <w:t>hromadným předpisným seznamem zvýšení neodvedeného nebo nezaplaceného poplatku, nebo jejich části, až na trojnásobek. Toto zvýšení je příslušenstvím poplatku a je splatné ve lhůtě 30 dnů ode dne doručení platebního výměru nebo hromadného předpisného seznamu.</w:t>
      </w:r>
      <w:r>
        <w:rPr>
          <w:i/>
          <w:lang w:val="cs-CZ"/>
        </w:rPr>
        <w:t>)</w:t>
      </w:r>
    </w:p>
    <w:p>
      <w:pPr>
        <w:pStyle w:val="Poznmkapodarou"/>
        <w:ind w:left="198" w:hanging="0"/>
        <w:jc w:val="both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dstrike w:val="false"/>
        <w:strike w:val="false"/>
        <w:b w:val="false"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dstrike w:val="false"/>
        <w:strike w:val="false"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vertAlign w:val="baseline"/>
        <w:position w:val="0"/>
        <w:sz w:val="2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4z0" w:customStyle="1">
    <w:name w:val="WW8Num4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4z1" w:customStyle="1">
    <w:name w:val="WW8Num4z1"/>
    <w:qFormat/>
    <w:rPr>
      <w:b w:val="false"/>
      <w:strike w:val="false"/>
      <w:dstrike w:val="false"/>
    </w:rPr>
  </w:style>
  <w:style w:type="character" w:styleId="WW8Num5z0" w:customStyle="1">
    <w:name w:val="WW8Num5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5z1" w:customStyle="1">
    <w:name w:val="WW8Num5z1"/>
    <w:qFormat/>
    <w:rPr>
      <w:b w:val="false"/>
      <w:strike w:val="false"/>
      <w:dstrike w:val="false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9z1" w:customStyle="1">
    <w:name w:val="WW8Num9z1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>
      <w:rFonts w:ascii="Times New Roman" w:hAnsi="Times New Roman" w:eastAsia="Times New Roman" w:cs="Times New Roman"/>
      <w:strike w:val="false"/>
      <w:dstrike w:val="false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16z0" w:customStyle="1">
    <w:name w:val="WW8Num16z0"/>
    <w:qFormat/>
    <w:rPr/>
  </w:style>
  <w:style w:type="character" w:styleId="WW8Num17z0" w:customStyle="1">
    <w:name w:val="WW8Num17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7z1" w:customStyle="1">
    <w:name w:val="WW8Num17z1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>
      <w:rFonts w:ascii="Times New Roman" w:hAnsi="Times New Roman" w:eastAsia="Times New Roman" w:cs="Times New Roman"/>
    </w:rPr>
  </w:style>
  <w:style w:type="character" w:styleId="WW8Num21z0" w:customStyle="1">
    <w:name w:val="WW8Num21z0"/>
    <w:qFormat/>
    <w:rPr/>
  </w:style>
  <w:style w:type="character" w:styleId="WW8Num23z0" w:customStyle="1">
    <w:name w:val="WW8Num23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23z1" w:customStyle="1">
    <w:name w:val="WW8Num23z1"/>
    <w:qFormat/>
    <w:rPr>
      <w:b w:val="false"/>
      <w:strike w:val="false"/>
      <w:dstrike w:val="false"/>
    </w:rPr>
  </w:style>
  <w:style w:type="character" w:styleId="WW8Num24z0" w:customStyle="1">
    <w:name w:val="WW8Num24z0"/>
    <w:qFormat/>
    <w:rPr>
      <w:rFonts w:ascii="Times New Roman" w:hAnsi="Times New Roman" w:eastAsia="Times New Roman" w:cs="Times New Roman"/>
    </w:rPr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8z0" w:customStyle="1">
    <w:name w:val="WW8Num28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28z1" w:customStyle="1">
    <w:name w:val="WW8Num28z1"/>
    <w:qFormat/>
    <w:rPr/>
  </w:style>
  <w:style w:type="character" w:styleId="WW8Num29z0" w:customStyle="1">
    <w:name w:val="WW8Num29z0"/>
    <w:qFormat/>
    <w:rPr>
      <w:b w:val="false"/>
      <w:i w:val="false"/>
      <w:strike w:val="false"/>
      <w:dstrike w:val="false"/>
      <w:color w:val="000000"/>
      <w:position w:val="0"/>
      <w:sz w:val="24"/>
      <w:sz w:val="24"/>
      <w:vertAlign w:val="baseline"/>
    </w:rPr>
  </w:style>
  <w:style w:type="character" w:styleId="WW8Num29z1" w:customStyle="1">
    <w:name w:val="WW8Num29z1"/>
    <w:qFormat/>
    <w:rPr/>
  </w:style>
  <w:style w:type="character" w:styleId="WW8Num30z0" w:customStyle="1">
    <w:name w:val="WW8Num30z0"/>
    <w:qFormat/>
    <w:rPr>
      <w:rFonts w:ascii="Times New Roman" w:hAnsi="Times New Roman" w:cs="Times New Roman"/>
      <w:i/>
      <w:sz w:val="20"/>
      <w:szCs w:val="20"/>
    </w:rPr>
  </w:style>
  <w:style w:type="character" w:styleId="WW8Num34z1" w:customStyle="1">
    <w:name w:val="WW8Num34z1"/>
    <w:qFormat/>
    <w:rPr>
      <w:rFonts w:ascii="Times New Roman" w:hAnsi="Times New Roman" w:eastAsia="Times New Roman" w:cs="Times New Roman"/>
    </w:rPr>
  </w:style>
  <w:style w:type="character" w:styleId="WW8Num35z0" w:customStyle="1">
    <w:name w:val="WW8Num35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35z1" w:customStyle="1">
    <w:name w:val="WW8Num35z1"/>
    <w:qFormat/>
    <w:rPr>
      <w:b w:val="false"/>
      <w:strike w:val="false"/>
      <w:dstrike w:val="false"/>
    </w:rPr>
  </w:style>
  <w:style w:type="character" w:styleId="WW8Num37z0" w:customStyle="1">
    <w:name w:val="WW8Num37z0"/>
    <w:qFormat/>
    <w:rPr/>
  </w:style>
  <w:style w:type="character" w:styleId="WW8Num38z0" w:customStyle="1">
    <w:name w:val="WW8Num38z0"/>
    <w:qFormat/>
    <w:rPr>
      <w:rFonts w:ascii="Times New Roman" w:hAnsi="Times New Roman" w:eastAsia="Times New Roman" w:cs="Times New Roman"/>
    </w:rPr>
  </w:style>
  <w:style w:type="character" w:styleId="WW8Num38z1" w:customStyle="1">
    <w:name w:val="WW8Num38z1"/>
    <w:qFormat/>
    <w:rPr/>
  </w:style>
  <w:style w:type="character" w:styleId="WW8Num38z2" w:customStyle="1">
    <w:name w:val="WW8Num38z2"/>
    <w:qFormat/>
    <w:rPr>
      <w:rFonts w:ascii="Courier New" w:hAnsi="Courier New" w:cs="Courier New"/>
    </w:rPr>
  </w:style>
  <w:style w:type="character" w:styleId="WW8Num39z0" w:customStyle="1">
    <w:name w:val="WW8Num39z0"/>
    <w:qFormat/>
    <w:rPr/>
  </w:style>
  <w:style w:type="character" w:styleId="WW8Num40z0" w:customStyle="1">
    <w:name w:val="WW8Num40z0"/>
    <w:qFormat/>
    <w:rPr>
      <w:rFonts w:ascii="Times New Roman" w:hAnsi="Times New Roman" w:eastAsia="Times New Roman" w:cs="Times New Roman"/>
    </w:rPr>
  </w:style>
  <w:style w:type="character" w:styleId="WW8Num41z0" w:customStyle="1">
    <w:name w:val="WW8Num41z0"/>
    <w:qFormat/>
    <w:rPr/>
  </w:style>
  <w:style w:type="character" w:styleId="WW8Num42z0" w:customStyle="1">
    <w:name w:val="WW8Num42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42z1" w:customStyle="1">
    <w:name w:val="WW8Num42z1"/>
    <w:qFormat/>
    <w:rPr>
      <w:b w:val="false"/>
      <w:strike w:val="false"/>
      <w:dstrike w:val="false"/>
    </w:rPr>
  </w:style>
  <w:style w:type="character" w:styleId="WW8Num44z0" w:customStyle="1">
    <w:name w:val="WW8Num44z0"/>
    <w:qFormat/>
    <w:rPr/>
  </w:style>
  <w:style w:type="character" w:styleId="WW8Num45z0" w:customStyle="1">
    <w:name w:val="WW8Num45z0"/>
    <w:qFormat/>
    <w:rPr>
      <w:rFonts w:ascii="Times New Roman" w:hAnsi="Times New Roman" w:cs="Times New Roman"/>
      <w:sz w:val="24"/>
    </w:rPr>
  </w:style>
  <w:style w:type="character" w:styleId="Standardnpsmoodstavce1" w:customStyle="1">
    <w:name w:val="Standardní písmo odstavce1"/>
    <w:qFormat/>
    <w:rPr/>
  </w:style>
  <w:style w:type="character" w:styleId="ZkladntextodsazenChar" w:customStyle="1">
    <w:name w:val="Základní text odsazený Char"/>
    <w:qFormat/>
    <w:rPr>
      <w:sz w:val="24"/>
      <w:szCs w:val="24"/>
      <w:lang w:val="cs-CZ" w:bidi="ar-SA"/>
    </w:rPr>
  </w:style>
  <w:style w:type="character" w:styleId="TextpoznpodarouChar" w:customStyle="1">
    <w:name w:val="Text pozn. pod čarou Char"/>
    <w:qFormat/>
    <w:rPr>
      <w:lang w:val="cs-CZ" w:eastAsia="cs-CZ" w:bidi="ar-SA"/>
    </w:rPr>
  </w:style>
  <w:style w:type="character" w:styleId="Znakypropoznmkupodarou" w:customStyle="1">
    <w:name w:val="Znaky pro poznámku pod čarou"/>
    <w:qFormat/>
    <w:rPr>
      <w:vertAlign w:val="superscript"/>
    </w:rPr>
  </w:style>
  <w:style w:type="character" w:styleId="Zkladntext3Char" w:customStyle="1">
    <w:name w:val="Základní text 3 Char"/>
    <w:qFormat/>
    <w:rPr>
      <w:sz w:val="16"/>
      <w:szCs w:val="16"/>
      <w:lang w:val="cs-CZ" w:bidi="ar-SA"/>
    </w:rPr>
  </w:style>
  <w:style w:type="character" w:styleId="ZkladntextChar" w:customStyle="1">
    <w:name w:val="Základní text Char"/>
    <w:qFormat/>
    <w:rPr>
      <w:sz w:val="24"/>
      <w:szCs w:val="24"/>
      <w:lang w:val="cs-CZ" w:bidi="ar-SA"/>
    </w:rPr>
  </w:style>
  <w:style w:type="character" w:styleId="Ukotvenpoznmkypodarou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Znakyprovysvtlivky" w:customStyle="1">
    <w:name w:val="Znaky pro vysvětlivky"/>
    <w:qFormat/>
    <w:rPr/>
  </w:style>
  <w:style w:type="paragraph" w:styleId="Nadpis" w:customStyle="1">
    <w:name w:val="Nadpis"/>
    <w:basedOn w:val="Normal"/>
    <w:next w:val="Tlotextu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Odsazentlatextu">
    <w:name w:val="Body Text Indent"/>
    <w:basedOn w:val="Normal"/>
    <w:pPr>
      <w:ind w:left="708" w:firstLine="357"/>
      <w:jc w:val="both"/>
    </w:pPr>
    <w:rPr/>
  </w:style>
  <w:style w:type="paragraph" w:styleId="Poznmkapodarou">
    <w:name w:val="Footnote Text"/>
    <w:basedOn w:val="Normal"/>
    <w:pPr/>
    <w:rPr>
      <w:sz w:val="20"/>
      <w:szCs w:val="20"/>
      <w:lang w:val="cs-CZ" w:eastAsia="cs-CZ"/>
    </w:rPr>
  </w:style>
  <w:style w:type="paragraph" w:styleId="Zkladntext31" w:customStyle="1">
    <w:name w:val="Základní text 31"/>
    <w:basedOn w:val="Normal"/>
    <w:qFormat/>
    <w:pPr>
      <w:spacing w:before="0" w:after="120"/>
    </w:pPr>
    <w:rPr>
      <w:sz w:val="16"/>
      <w:szCs w:val="16"/>
    </w:rPr>
  </w:style>
  <w:style w:type="paragraph" w:styleId="Nzevzkona" w:customStyle="1">
    <w:name w:val="název zákona"/>
    <w:basedOn w:val="Nadpis"/>
    <w:qFormat/>
    <w:pPr/>
    <w:rPr>
      <w:rFonts w:ascii="Cambria" w:hAnsi="Cambria" w:cs="Cambria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ZkladntextIMP" w:customStyle="1">
    <w:name w:val="Základní text_IMP"/>
    <w:basedOn w:val="Normal"/>
    <w:qFormat/>
    <w:pPr>
      <w:overflowPunct w:val="true"/>
      <w:spacing w:lineRule="auto" w:line="276"/>
      <w:textAlignment w:val="baseline"/>
    </w:pPr>
    <w:rPr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lalnk" w:customStyle="1">
    <w:name w:val="Čísla článků"/>
    <w:basedOn w:val="Normal"/>
    <w:qFormat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pPr>
      <w:spacing w:before="60" w:after="16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zh-CN" w:val="cs-CZ" w:bidi="ar-SA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Nadpistabulky" w:customStyle="1">
    <w:name w:val="Nadpis tabulky"/>
    <w:basedOn w:val="Obsahtabulky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LibreOffice/7.4.2.3$Windows_X86_64 LibreOffice_project/382eef1f22670f7f4118c8c2dd222ec7ad009daf</Application>
  <AppVersion>15.0000</AppVersion>
  <Pages>3</Pages>
  <Words>1040</Words>
  <Characters>5793</Characters>
  <CharactersWithSpaces>6763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2022-12-19T12:50:00Z</dcterms:created>
  <dc:creator>Mgr. Martin Pech</dc:creator>
  <dc:description/>
  <dc:language>cs-CZ</dc:language>
  <cp:lastModifiedBy/>
  <cp:lastPrinted>2017-12-12T08:42:00Z</cp:lastPrinted>
  <dcterms:modified xsi:type="dcterms:W3CDTF">2022-12-20T09:55:39Z</dcterms:modified>
  <cp:revision>4</cp:revision>
  <dc:subject/>
  <dc:title>MP odpady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