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3A" w:rsidRDefault="00757A44">
      <w:pPr>
        <w:pStyle w:val="docdata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Město Nový Jičín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Zastupitelstvo města Nový Jičín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Obecně závazná vyhláška města Nový Jičín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 místním poplatku za obecní systém odpadového hospodářství</w:t>
      </w:r>
    </w:p>
    <w:p w:rsidR="00C0233A" w:rsidRDefault="00757A44">
      <w:pPr>
        <w:pStyle w:val="Normlnweb"/>
        <w:spacing w:after="0"/>
        <w:jc w:val="center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rFonts w:ascii="onlyofficedefaultfont" w:hAnsi="onlyofficedefaultfont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rFonts w:ascii="onlyofficedefaultfont" w:hAnsi="onlyofficedefaultfont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Zastupitelstvo města Nový Jičín se na svém zasedání dne 19.</w:t>
      </w:r>
      <w:r w:rsidR="00FA2DC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12.</w:t>
      </w:r>
      <w:r w:rsidR="00FA2DC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2022 usnesením č. </w:t>
      </w:r>
      <w:bookmarkStart w:id="0" w:name="_GoBack"/>
      <w:bookmarkEnd w:id="0"/>
      <w:r w:rsidR="00B86D2E" w:rsidRPr="00B86D2E">
        <w:rPr>
          <w:rFonts w:ascii="Arial" w:hAnsi="Arial" w:cs="Arial"/>
          <w:sz w:val="22"/>
          <w:szCs w:val="22"/>
        </w:rPr>
        <w:t>76/2Z/2022</w:t>
      </w:r>
      <w:r w:rsidR="00B86D2E"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usneslo vydat na základě § 14 zákona č. 565/1990 Sb., o místních poplatcích, </w:t>
      </w:r>
      <w:r w:rsidR="00FA2DC1">
        <w:rPr>
          <w:rFonts w:ascii="Arial" w:hAnsi="Arial" w:cs="Arial"/>
          <w:color w:val="000000"/>
          <w:sz w:val="22"/>
          <w:szCs w:val="22"/>
        </w:rPr>
        <w:t>ve znění</w:t>
      </w:r>
      <w:r>
        <w:rPr>
          <w:rFonts w:ascii="Arial" w:hAnsi="Arial" w:cs="Arial"/>
          <w:color w:val="000000"/>
          <w:sz w:val="22"/>
          <w:szCs w:val="22"/>
        </w:rPr>
        <w:t xml:space="preserve"> pozdějších předpisů (dále jen „zákon o místních poplatcích“), a v souladu s § 10 písm.</w:t>
      </w:r>
      <w:r w:rsidR="00C9493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d)</w:t>
      </w:r>
      <w:r w:rsidR="00C94932">
        <w:rPr>
          <w:rFonts w:ascii="Arial" w:hAnsi="Arial" w:cs="Arial"/>
          <w:color w:val="000000"/>
          <w:sz w:val="22"/>
          <w:szCs w:val="22"/>
        </w:rPr>
        <w:t xml:space="preserve"> a </w:t>
      </w:r>
      <w:r>
        <w:rPr>
          <w:rFonts w:ascii="Arial" w:hAnsi="Arial" w:cs="Arial"/>
          <w:color w:val="000000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„tato vyhláška“): 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Úvodní ustanovení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Město Nový Jičín touto vyhláškou zavádí místní poplatek za obecní systém odpadového hospodářství (dále jen „poplatek“).</w:t>
      </w:r>
    </w:p>
    <w:p w:rsidR="00C0233A" w:rsidRDefault="00757A44">
      <w:pPr>
        <w:pStyle w:val="Normlnweb"/>
        <w:tabs>
          <w:tab w:val="left" w:pos="567"/>
        </w:tabs>
        <w:spacing w:after="0"/>
        <w:ind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</w:rPr>
        <w:t>(2)     Správcem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poplatku je Městský úřad Nový Jičín.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Poplatník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C0233A" w:rsidRDefault="00C0233A">
      <w:pPr>
        <w:pStyle w:val="Normlnweb"/>
        <w:spacing w:after="0"/>
        <w:ind w:left="106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fyzická osoba přihlášená ve městě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nebo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</w:p>
    <w:p w:rsidR="00C0233A" w:rsidRDefault="00757A44">
      <w:pPr>
        <w:pStyle w:val="Normlnweb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vlastník nemovité věci zahrnující byt, rodinný dům nebo stavbu pro rodinnou rekreaci, ve které není přihlášená žádná fyzická osoba a která je umístěna na území města.</w:t>
      </w:r>
    </w:p>
    <w:p w:rsidR="00C0233A" w:rsidRDefault="00C0233A">
      <w:pPr>
        <w:pStyle w:val="Normlnweb"/>
        <w:spacing w:after="0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(2)   Spoluvlastníci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nemovité  věci  zahrnující  byt, rodinný  dům  nebo  stavbu  pro  rodinnou 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rekreaci jsou povinni plnit poplatkovou povinnost společně a nerozdílně.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4"/>
      </w:r>
    </w:p>
    <w:p w:rsidR="00C0233A" w:rsidRDefault="00757A44">
      <w:pPr>
        <w:pStyle w:val="Normlnweb"/>
        <w:spacing w:after="0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ind w:left="703" w:hanging="70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3</w:t>
      </w:r>
    </w:p>
    <w:p w:rsidR="00C0233A" w:rsidRDefault="00757A44">
      <w:pPr>
        <w:pStyle w:val="Normlnweb"/>
        <w:spacing w:after="0"/>
        <w:ind w:left="703" w:hanging="70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Poplatkové období</w:t>
      </w:r>
    </w:p>
    <w:p w:rsidR="00C0233A" w:rsidRDefault="00C0233A">
      <w:pPr>
        <w:pStyle w:val="Normlnweb"/>
        <w:spacing w:after="0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   Poplatkovým obdobím poplatku je kalendářní rok.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5"/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Čl. 4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Ohlašovací povinnost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Poplatník je povinen podat správci poplatku ohlášení nejpozději do 15 dnů ode dne vzniku své poplatkové povinnosti.</w:t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V ohlášení poplatník uvede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6"/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7"/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(4)</w:t>
      </w:r>
      <w:r>
        <w:rPr>
          <w:rFonts w:ascii="Arial" w:hAnsi="Arial" w:cs="Arial"/>
          <w:color w:val="000000"/>
          <w:sz w:val="22"/>
          <w:szCs w:val="22"/>
        </w:rPr>
        <w:tab/>
        <w:t>Dojde-li ke změně údajů uvedených v ohlášení, je poplatník povinen tuto změnu oznámit do 15 dnů ode dne, kdy nastala.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8"/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(5)</w:t>
      </w:r>
      <w:r>
        <w:rPr>
          <w:rFonts w:ascii="Arial" w:hAnsi="Arial" w:cs="Arial"/>
          <w:color w:val="000000"/>
          <w:sz w:val="22"/>
          <w:szCs w:val="22"/>
        </w:rPr>
        <w:tab/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9"/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5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Sazba poplatku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Sazba poplatku činí</w:t>
      </w:r>
      <w:r>
        <w:rPr>
          <w:rFonts w:ascii="Arial" w:hAnsi="Arial" w:cs="Arial"/>
          <w:bCs/>
          <w:color w:val="000000"/>
          <w:sz w:val="22"/>
          <w:szCs w:val="22"/>
        </w:rPr>
        <w:t> 600</w:t>
      </w:r>
      <w:r>
        <w:rPr>
          <w:rFonts w:ascii="Arial" w:hAnsi="Arial" w:cs="Arial"/>
          <w:color w:val="000000"/>
          <w:sz w:val="22"/>
          <w:szCs w:val="22"/>
        </w:rPr>
        <w:t xml:space="preserve"> Kč.</w:t>
      </w:r>
    </w:p>
    <w:p w:rsidR="00C0233A" w:rsidRDefault="00C0233A">
      <w:pPr>
        <w:pStyle w:val="Normlnweb"/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Poplatek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se v případě, že poplatková povinnost vznikla z důvodu přihlášení fyzické osoby ve městě, snižuje o jednu dvanáctinu za každý kalendářní měsíc, na jehož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0"/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 není tato fyzická osoba přihlášena ve městě, nebo</w:t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 je tato fyzická osoba od poplatku osvobozena.</w:t>
      </w:r>
    </w:p>
    <w:p w:rsidR="00C0233A" w:rsidRDefault="00C0233A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(3)</w:t>
      </w:r>
      <w:r>
        <w:rPr>
          <w:rFonts w:ascii="Arial" w:hAnsi="Arial" w:cs="Arial"/>
          <w:color w:val="000000"/>
          <w:sz w:val="22"/>
          <w:szCs w:val="22"/>
        </w:rPr>
        <w:tab/>
        <w:t>Poplatek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se v případě, že poplatková povinnost vznikla z důvodu vlastnictví jednotlivé nemovité věci zahrnující byt, rodinný dům nebo stavbu pro rodinnou rekreaci umístěné na území města, snižuje o jednu dvanáctinu za každý kalendářní měsíc, na jehož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1"/>
      </w:r>
    </w:p>
    <w:p w:rsidR="00C0233A" w:rsidRDefault="00C0233A">
      <w:pPr>
        <w:pStyle w:val="Normlnweb"/>
        <w:spacing w:after="0"/>
        <w:ind w:left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je v této nemovité věci přihlášena alespoň jedna fyzická osoba,</w:t>
      </w:r>
    </w:p>
    <w:p w:rsidR="00C0233A" w:rsidRDefault="00C0233A">
      <w:pPr>
        <w:pStyle w:val="Normlnweb"/>
        <w:spacing w:after="0"/>
        <w:ind w:left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poplatník nevlastní tuto nemovitou věc, nebo</w:t>
      </w:r>
    </w:p>
    <w:p w:rsidR="00C0233A" w:rsidRDefault="00C0233A">
      <w:pPr>
        <w:pStyle w:val="Normlnweb"/>
        <w:spacing w:after="0"/>
        <w:ind w:left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je poplatník od poplatku osvobozen.</w:t>
      </w:r>
    </w:p>
    <w:p w:rsidR="00C0233A" w:rsidRDefault="00757A44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</w:t>
      </w:r>
    </w:p>
    <w:p w:rsidR="00C0233A" w:rsidRDefault="00757A44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6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Splatnost poplatku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Poplatek je splatný jednorázově, a to nejpozději do 30.</w:t>
      </w:r>
      <w:r w:rsidR="00FA2DC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6. příslušného kalendářního roku. </w:t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Vznikne-li poplatková povinnost po datu splatnosti uvedeném v odstavci 1, je poplatek splatný nejpozději do 15. dne měsíce, který následuje po měsíci, ve kterém poplatková povinnost vznikla. </w:t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  <w:t>Lhůta splatnosti neskončí poplatníkovi dříve než lhůta pro podání ohlášení podle čl. 4 odst. 1 této vyhlášky.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7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Osvobození 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Od poplatku je osvobozena osoba, které poplatková povinnost vznikla z důvodu přihlášení ve městě a která je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2"/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poplatníkem poplatku za odkládání komunálního odpadu z nemovité věci v jiné obci a má v této jiné obci bydliště, 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umístěna do zařízení pro děti vyžadující okamžitou pomoc na základě rozhodnutí soudu, na žádost obecního úřadu obce s rozšířenou působností, zákonného zástupce dítěte nebo nezletilého,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umístěna v domově pro osoby se zdravotním postižením, domově pro seniory, domově se zvláštním režimem nebo v chráněném bydlení, nebo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zákona omezena na osobní svobodě s výjimkou osoby vykonávající trest domácího vězení.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Od poplatku se osvobozuje osoba, které poplatková povinnost vznikla z důvodů přihlášení ve městě a která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mladší jednoho roku věku,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C0233A" w:rsidRDefault="00757A44">
      <w:pPr>
        <w:pStyle w:val="Normlnweb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pobývá alespoň 90 po sobě jdoucích dnů v pobytovém zařízení sociální a zdravotní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péče neuvedeném v odstavci 1,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C0233A" w:rsidRDefault="00757A44">
      <w:pPr>
        <w:pStyle w:val="Normlnweb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pobývá alespoň 180 po sobě jdoucích dnů mimo území České republiky. 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3"/>
      </w:r>
    </w:p>
    <w:p w:rsidR="00C0233A" w:rsidRDefault="00C0233A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8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Navýšení poplatku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4"/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Včas nezaplacené poplatky nebo část těchto poplatků může správce poplatku zvýšit až na trojnásobek; toto zvýšení je příslušenstvím poplatku sledujícím jeho osud.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5"/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9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Odpovědnost za zaplacení poplatku</w:t>
      </w:r>
      <w:r>
        <w:rPr>
          <w:rStyle w:val="Znakapoznpodarou"/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16"/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ind w:left="708" w:hanging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Vznikne-li nedoplatek na poplatku poplatník</w:t>
      </w:r>
      <w:r w:rsidR="00FA2DC1">
        <w:rPr>
          <w:rFonts w:ascii="Arial" w:hAnsi="Arial" w:cs="Arial"/>
          <w:color w:val="000000"/>
          <w:sz w:val="22"/>
          <w:szCs w:val="22"/>
        </w:rPr>
        <w:t>ovi, který je ke dni splatnosti nezletilý a nenabyl</w:t>
      </w:r>
      <w:r>
        <w:rPr>
          <w:rFonts w:ascii="Arial" w:hAnsi="Arial" w:cs="Arial"/>
          <w:color w:val="000000"/>
          <w:sz w:val="22"/>
          <w:szCs w:val="22"/>
        </w:rPr>
        <w:t xml:space="preserve"> plné svéprávnosti nebo který je ke dni splatnosti omezen ve</w:t>
      </w:r>
      <w:r w:rsidR="00FA2DC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svéprávnosti a</w:t>
      </w:r>
      <w:r w:rsidR="00FA2DC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V případě podle odstavce 1 vyměří správce poplatku poplatek zákonnému zástupci nebo opatrovníkovi poplatníka.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  <w:t>Je-li zákonných zástupců nebo opatrovníků více, jsou povinni plnit poplatkovou povinnost společně a nerozdílně.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C0233A">
      <w:pPr>
        <w:pStyle w:val="Normlnweb"/>
        <w:spacing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10</w:t>
      </w:r>
    </w:p>
    <w:p w:rsidR="00C0233A" w:rsidRDefault="00757A44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Prominutí poplatku na žádost poplatníka</w:t>
      </w:r>
    </w:p>
    <w:p w:rsidR="00C0233A" w:rsidRDefault="00C0233A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Správce poplatku může na žádost poplatníka z důvodu odstranění tvrdosti právního předpisu zcela nebo částečně prominout poplatek nebo jeho příslušenství, lze-li to s přihlédnutím k okolnostem daného případu ospravedlnit.</w:t>
      </w:r>
      <w:r>
        <w:rPr>
          <w:rStyle w:val="Znakapoznpodarou"/>
          <w:rFonts w:ascii="Arial" w:hAnsi="Arial" w:cs="Arial"/>
          <w:bCs/>
          <w:color w:val="000000"/>
          <w:sz w:val="22"/>
          <w:szCs w:val="22"/>
          <w:vertAlign w:val="superscript"/>
        </w:rPr>
        <w:footnoteReference w:id="17"/>
      </w:r>
    </w:p>
    <w:p w:rsidR="00C0233A" w:rsidRDefault="00C0233A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0233A" w:rsidRDefault="00C0233A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11</w:t>
      </w:r>
    </w:p>
    <w:p w:rsidR="00C0233A" w:rsidRDefault="00757A44">
      <w:pPr>
        <w:pStyle w:val="Normlnweb"/>
        <w:spacing w:after="0"/>
        <w:ind w:left="705" w:hanging="70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Společná ustanovení</w:t>
      </w:r>
    </w:p>
    <w:p w:rsidR="00C0233A" w:rsidRDefault="00757A44">
      <w:pPr>
        <w:pStyle w:val="Normlnweb"/>
        <w:spacing w:after="0"/>
        <w:ind w:left="705" w:hanging="70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Ustanovení o nemovité věci se použijí obdobně i na jednotku, která je vymezena podle</w:t>
      </w:r>
      <w:r w:rsidR="001B50A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zákona o vlastnictví bytů, spolu s touto jednotkou spojeným podílem na </w:t>
      </w:r>
      <w:r>
        <w:rPr>
          <w:rFonts w:ascii="Arial" w:hAnsi="Arial" w:cs="Arial"/>
          <w:color w:val="000000"/>
          <w:sz w:val="22"/>
          <w:szCs w:val="22"/>
        </w:rPr>
        <w:lastRenderedPageBreak/>
        <w:t>společných částech domu, a pokud je s ní spojeno vlastnictví k pozemku, tak i spolu s podílem na</w:t>
      </w:r>
      <w:r w:rsidR="00FA2DC1">
        <w:rPr>
          <w:rFonts w:ascii="Arial" w:hAnsi="Arial" w:cs="Arial"/>
          <w:color w:val="000000"/>
          <w:sz w:val="22"/>
          <w:szCs w:val="22"/>
        </w:rPr>
        <w:t> to</w:t>
      </w:r>
      <w:r>
        <w:rPr>
          <w:rFonts w:ascii="Arial" w:hAnsi="Arial" w:cs="Arial"/>
          <w:color w:val="000000"/>
          <w:sz w:val="22"/>
          <w:szCs w:val="22"/>
        </w:rPr>
        <w:t>mto pozemku.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8"/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Na svěřen</w:t>
      </w:r>
      <w:r w:rsidR="00FA2DC1">
        <w:rPr>
          <w:rFonts w:ascii="Arial" w:hAnsi="Arial" w:cs="Arial"/>
          <w:color w:val="000000"/>
          <w:sz w:val="22"/>
          <w:szCs w:val="22"/>
        </w:rPr>
        <w:t>ec</w:t>
      </w:r>
      <w:r>
        <w:rPr>
          <w:rFonts w:ascii="Arial" w:hAnsi="Arial" w:cs="Arial"/>
          <w:color w:val="000000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9"/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C0233A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12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Přechodná ustanovení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 w:rsidP="001B50A4">
      <w:pPr>
        <w:pStyle w:val="Normlnweb"/>
        <w:spacing w:after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Poplatkové povinnosti vzniklé před nabytím účinnosti této vyhlášky se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posuzují </w:t>
      </w:r>
      <w:r w:rsidR="001B50A4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podle</w:t>
      </w:r>
      <w:proofErr w:type="gramEnd"/>
      <w:r w:rsidR="001B50A4">
        <w:rPr>
          <w:rFonts w:ascii="Segoe UI Symbol" w:hAnsi="Segoe UI Symbol" w:cs="Arial"/>
          <w:color w:val="000000"/>
          <w:sz w:val="22"/>
          <w:szCs w:val="22"/>
        </w:rPr>
        <w:t> do</w:t>
      </w:r>
      <w:r>
        <w:rPr>
          <w:rFonts w:ascii="Arial" w:hAnsi="Arial" w:cs="Arial"/>
          <w:color w:val="000000"/>
          <w:sz w:val="22"/>
          <w:szCs w:val="22"/>
        </w:rPr>
        <w:t>savadních právních předpisů.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13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Zrušovací ustanovení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Zrušuje se obecně závazná vyhláška č. 8/2021 o místním poplatku za obecní systém    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odpadového hospodářství ze dne 15. 11. 2021.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14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Tato vyhláška nabývá účinnosti dne 01. 01. 2023.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B50A4" w:rsidRDefault="001B50A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C0233A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C0233A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……………………………....                                                …………………………….</w:t>
      </w:r>
    </w:p>
    <w:p w:rsidR="00C0233A" w:rsidRDefault="00757A44">
      <w:pPr>
        <w:pStyle w:val="Normlnweb"/>
        <w:tabs>
          <w:tab w:val="left" w:pos="1080"/>
          <w:tab w:val="left" w:pos="6661"/>
        </w:tabs>
        <w:spacing w:after="0" w:line="273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JUDr. Václav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Dobrozemský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v. r.                                        Mgr. Stanislav Kopecký v. r.</w:t>
      </w:r>
    </w:p>
    <w:p w:rsidR="00C0233A" w:rsidRDefault="00757A44">
      <w:pPr>
        <w:pStyle w:val="Normlnweb"/>
        <w:tabs>
          <w:tab w:val="left" w:pos="1080"/>
          <w:tab w:val="left" w:pos="7021"/>
        </w:tabs>
        <w:spacing w:after="0" w:line="273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 místostarosta</w:t>
      </w:r>
      <w:r>
        <w:rPr>
          <w:rFonts w:ascii="Arial" w:hAnsi="Arial" w:cs="Arial"/>
          <w:color w:val="000000"/>
          <w:sz w:val="22"/>
          <w:szCs w:val="22"/>
        </w:rPr>
        <w:tab/>
        <w:t>    starosta</w:t>
      </w:r>
    </w:p>
    <w:sectPr w:rsidR="00C0233A" w:rsidSect="00C94932">
      <w:footerReference w:type="default" r:id="rId8"/>
      <w:headerReference w:type="first" r:id="rId9"/>
      <w:pgSz w:w="11906" w:h="16838"/>
      <w:pgMar w:top="1417" w:right="1417" w:bottom="1417" w:left="1417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A44" w:rsidRDefault="00757A44">
      <w:pPr>
        <w:spacing w:after="0" w:line="240" w:lineRule="auto"/>
      </w:pPr>
      <w:r>
        <w:separator/>
      </w:r>
    </w:p>
  </w:endnote>
  <w:endnote w:type="continuationSeparator" w:id="0">
    <w:p w:rsidR="00757A44" w:rsidRDefault="0075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nlyofficedefaultfont">
    <w:altName w:val="Wingdings 3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935532"/>
      <w:docPartObj>
        <w:docPartGallery w:val="Page Numbers (Bottom of Page)"/>
        <w:docPartUnique/>
      </w:docPartObj>
    </w:sdtPr>
    <w:sdtEndPr/>
    <w:sdtContent>
      <w:p w:rsidR="00C0233A" w:rsidRDefault="00757A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D2E">
          <w:rPr>
            <w:noProof/>
          </w:rPr>
          <w:t>2</w:t>
        </w:r>
        <w:r>
          <w:fldChar w:fldCharType="end"/>
        </w:r>
      </w:p>
    </w:sdtContent>
  </w:sdt>
  <w:p w:rsidR="00C0233A" w:rsidRDefault="00C023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A44" w:rsidRDefault="00757A44">
      <w:pPr>
        <w:spacing w:after="0" w:line="240" w:lineRule="auto"/>
      </w:pPr>
      <w:r>
        <w:separator/>
      </w:r>
    </w:p>
  </w:footnote>
  <w:footnote w:type="continuationSeparator" w:id="0">
    <w:p w:rsidR="00757A44" w:rsidRDefault="00757A44">
      <w:pPr>
        <w:spacing w:after="0" w:line="240" w:lineRule="auto"/>
      </w:pPr>
      <w:r>
        <w:continuationSeparator/>
      </w:r>
    </w:p>
  </w:footnote>
  <w:footnote w:id="1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1 </w:t>
      </w:r>
      <w:r>
        <w:rPr>
          <w:color w:val="000000"/>
          <w:sz w:val="20"/>
          <w:szCs w:val="20"/>
        </w:rPr>
        <w:t>§ 15 odst. 1 zákona o místních poplatcích</w:t>
      </w:r>
    </w:p>
  </w:footnote>
  <w:footnote w:id="2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2 </w:t>
      </w:r>
      <w:r>
        <w:rPr>
          <w:color w:val="000000"/>
          <w:sz w:val="20"/>
          <w:szCs w:val="20"/>
        </w:rPr>
        <w:t>§ 10e zákona o místních poplatcích</w:t>
      </w:r>
    </w:p>
  </w:footnote>
  <w:footnote w:id="3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vertAlign w:val="superscript"/>
        </w:rPr>
        <w:t>3 </w:t>
      </w:r>
      <w:r>
        <w:rPr>
          <w:color w:val="000000"/>
          <w:sz w:val="20"/>
          <w:szCs w:val="20"/>
        </w:rPr>
        <w:t>Za přihlášení fyzické osoby se podle § 16c zákona o místních poplatcích považuje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a) přihlášení k trvalému pobytu podle zákona o evidenci obyvatel, nebo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b) ohlášení místa pobytu podle zákona o pobytu cizinců na území České republiky, zákona o azylu nebo zákona o dočasné ochraně cizinců, jde-li o cizince,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proofErr w:type="gramStart"/>
      <w:r>
        <w:rPr>
          <w:color w:val="000000"/>
          <w:sz w:val="20"/>
          <w:szCs w:val="20"/>
        </w:rPr>
        <w:t>1.kterému</w:t>
      </w:r>
      <w:proofErr w:type="gramEnd"/>
      <w:r>
        <w:rPr>
          <w:color w:val="000000"/>
          <w:sz w:val="20"/>
          <w:szCs w:val="20"/>
        </w:rPr>
        <w:t xml:space="preserve"> byl povolen trvalý pobyt,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2. který na území České republiky pobývá přechodně po dobu delší než 3 měsíce,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4. kterému byla udělena mezinárodní ochrana nebo jde o cizince požívajícího dočasné ochrany cizinců.</w:t>
      </w:r>
    </w:p>
  </w:footnote>
  <w:footnote w:id="4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4</w:t>
      </w:r>
      <w:r>
        <w:rPr>
          <w:color w:val="000000"/>
          <w:sz w:val="20"/>
          <w:szCs w:val="20"/>
        </w:rPr>
        <w:t>§ 10p zákona o místních poplatcích</w:t>
      </w:r>
    </w:p>
  </w:footnote>
  <w:footnote w:id="5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5</w:t>
      </w:r>
      <w:r>
        <w:rPr>
          <w:color w:val="000000"/>
          <w:sz w:val="20"/>
          <w:szCs w:val="20"/>
        </w:rPr>
        <w:t>§ 10o odst. 1 zákona o místních poplatcích</w:t>
      </w:r>
    </w:p>
  </w:footnote>
  <w:footnote w:id="6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6 </w:t>
      </w:r>
      <w:r>
        <w:rPr>
          <w:color w:val="000000"/>
          <w:sz w:val="20"/>
          <w:szCs w:val="20"/>
        </w:rPr>
        <w:t>§ 14a odst. 2 zákona o místních poplatcích</w:t>
      </w:r>
    </w:p>
  </w:footnote>
  <w:footnote w:id="7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7</w:t>
      </w:r>
      <w:r>
        <w:rPr>
          <w:color w:val="000000"/>
          <w:sz w:val="20"/>
          <w:szCs w:val="20"/>
        </w:rPr>
        <w:t> § 14a odst. 3 zákona o místních poplatcích</w:t>
      </w:r>
    </w:p>
  </w:footnote>
  <w:footnote w:id="8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8 </w:t>
      </w:r>
      <w:r>
        <w:rPr>
          <w:color w:val="000000"/>
          <w:sz w:val="20"/>
          <w:szCs w:val="20"/>
        </w:rPr>
        <w:t>§ 14a odst. 4 zákona o místních poplatcích</w:t>
      </w:r>
    </w:p>
  </w:footnote>
  <w:footnote w:id="9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9 </w:t>
      </w:r>
      <w:r>
        <w:rPr>
          <w:color w:val="000000"/>
          <w:sz w:val="20"/>
          <w:szCs w:val="20"/>
        </w:rPr>
        <w:t xml:space="preserve">§ 14a odst. 5 zákona o místních poplatcích </w:t>
      </w:r>
    </w:p>
  </w:footnote>
  <w:footnote w:id="10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10</w:t>
      </w:r>
      <w:r>
        <w:rPr>
          <w:color w:val="000000"/>
          <w:sz w:val="20"/>
          <w:szCs w:val="20"/>
        </w:rPr>
        <w:t>§ 10h odst. 2 ve spojení s § 10o odst. 2 zákona o místních poplatcích</w:t>
      </w:r>
      <w:r>
        <w:rPr>
          <w:color w:val="000000"/>
          <w:sz w:val="20"/>
          <w:szCs w:val="20"/>
          <w:vertAlign w:val="superscript"/>
        </w:rPr>
        <w:t> </w:t>
      </w:r>
    </w:p>
  </w:footnote>
  <w:footnote w:id="11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 11</w:t>
      </w:r>
      <w:r>
        <w:rPr>
          <w:color w:val="000000"/>
          <w:sz w:val="20"/>
          <w:szCs w:val="20"/>
        </w:rPr>
        <w:t>§ 10h odst. 3 ve spojení s § 10o odst. 2 zákona o místních poplatcích</w:t>
      </w:r>
    </w:p>
  </w:footnote>
  <w:footnote w:id="12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 12</w:t>
      </w:r>
      <w:r>
        <w:rPr>
          <w:color w:val="000000"/>
          <w:sz w:val="20"/>
          <w:szCs w:val="20"/>
        </w:rPr>
        <w:t>§ 10g zákona o místních poplatcích </w:t>
      </w:r>
    </w:p>
  </w:footnote>
  <w:footnote w:id="13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13</w:t>
      </w:r>
      <w:r>
        <w:rPr>
          <w:color w:val="000000"/>
          <w:sz w:val="20"/>
          <w:szCs w:val="20"/>
        </w:rPr>
        <w:t>§ 14a odst. 6 zákona o místních poplatcích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</w:footnote>
  <w:footnote w:id="14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14</w:t>
      </w:r>
      <w:r>
        <w:rPr>
          <w:color w:val="000000"/>
          <w:sz w:val="20"/>
          <w:szCs w:val="20"/>
        </w:rPr>
        <w:t>§ 11 odst. 1 zákona o místních poplatcích</w:t>
      </w:r>
    </w:p>
  </w:footnote>
  <w:footnote w:id="15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15</w:t>
      </w:r>
      <w:r>
        <w:rPr>
          <w:color w:val="000000"/>
          <w:sz w:val="20"/>
          <w:szCs w:val="20"/>
        </w:rPr>
        <w:t>§ 11 odst. 3 zákona o místních poplatcích</w:t>
      </w:r>
    </w:p>
  </w:footnote>
  <w:footnote w:id="16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16</w:t>
      </w:r>
      <w:r>
        <w:rPr>
          <w:color w:val="000000"/>
          <w:sz w:val="20"/>
          <w:szCs w:val="20"/>
        </w:rPr>
        <w:t>§ 12 zákona o místních poplatcích</w:t>
      </w:r>
      <w:r>
        <w:rPr>
          <w:color w:val="000000"/>
          <w:sz w:val="20"/>
          <w:szCs w:val="20"/>
          <w:vertAlign w:val="superscript"/>
        </w:rPr>
        <w:t> </w:t>
      </w:r>
    </w:p>
  </w:footnote>
  <w:footnote w:id="17">
    <w:p w:rsidR="00C0233A" w:rsidRDefault="00757A44">
      <w:pPr>
        <w:pStyle w:val="Normlnweb"/>
        <w:spacing w:after="0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</w:rPr>
        <w:t>§ 16a zákona o místních poplatcích</w:t>
      </w:r>
    </w:p>
  </w:footnote>
  <w:footnote w:id="18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18</w:t>
      </w:r>
      <w:r>
        <w:rPr>
          <w:color w:val="000000"/>
          <w:sz w:val="20"/>
          <w:szCs w:val="20"/>
        </w:rPr>
        <w:t>§ 10q zákona o místních poplatcích</w:t>
      </w:r>
      <w:r>
        <w:rPr>
          <w:color w:val="000000"/>
          <w:sz w:val="20"/>
          <w:szCs w:val="20"/>
          <w:vertAlign w:val="superscript"/>
        </w:rPr>
        <w:t> </w:t>
      </w:r>
    </w:p>
  </w:footnote>
  <w:footnote w:id="19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19</w:t>
      </w:r>
      <w:r>
        <w:rPr>
          <w:color w:val="000000"/>
          <w:sz w:val="20"/>
          <w:szCs w:val="20"/>
        </w:rPr>
        <w:t>§ 10r zákona o místních poplatcích</w:t>
      </w:r>
      <w:r>
        <w:rPr>
          <w:color w:val="000000"/>
          <w:sz w:val="20"/>
          <w:szCs w:val="20"/>
          <w:vertAlign w:val="superscript"/>
        </w:rPr>
        <w:t>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32" w:rsidRDefault="00C94932">
    <w:pPr>
      <w:pStyle w:val="Zhlav"/>
    </w:pPr>
    <w:r>
      <w:rPr>
        <w:noProof/>
        <w:lang w:eastAsia="cs-CZ"/>
      </w:rPr>
      <w:drawing>
        <wp:inline distT="0" distB="0" distL="0" distR="0" wp14:anchorId="12D00CA4" wp14:editId="52819AAA">
          <wp:extent cx="704634" cy="699715"/>
          <wp:effectExtent l="0" t="0" r="635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19726" cy="714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CEA"/>
    <w:multiLevelType w:val="hybridMultilevel"/>
    <w:tmpl w:val="4E9E5E12"/>
    <w:lvl w:ilvl="0" w:tplc="6742D0A8">
      <w:start w:val="1"/>
      <w:numFmt w:val="decimal"/>
      <w:lvlText w:val="%1)"/>
      <w:lvlJc w:val="right"/>
      <w:pPr>
        <w:ind w:left="709" w:hanging="360"/>
      </w:pPr>
    </w:lvl>
    <w:lvl w:ilvl="1" w:tplc="589CB912">
      <w:start w:val="1"/>
      <w:numFmt w:val="lowerLetter"/>
      <w:lvlText w:val="%2."/>
      <w:lvlJc w:val="left"/>
      <w:pPr>
        <w:ind w:left="1440" w:hanging="360"/>
      </w:pPr>
    </w:lvl>
    <w:lvl w:ilvl="2" w:tplc="5D8E8AB0">
      <w:start w:val="1"/>
      <w:numFmt w:val="lowerRoman"/>
      <w:lvlText w:val="%3."/>
      <w:lvlJc w:val="right"/>
      <w:pPr>
        <w:ind w:left="2160" w:hanging="180"/>
      </w:pPr>
    </w:lvl>
    <w:lvl w:ilvl="3" w:tplc="E554730C">
      <w:start w:val="1"/>
      <w:numFmt w:val="decimal"/>
      <w:lvlText w:val="%4."/>
      <w:lvlJc w:val="left"/>
      <w:pPr>
        <w:ind w:left="2880" w:hanging="360"/>
      </w:pPr>
    </w:lvl>
    <w:lvl w:ilvl="4" w:tplc="16480D8E">
      <w:start w:val="1"/>
      <w:numFmt w:val="lowerLetter"/>
      <w:lvlText w:val="%5."/>
      <w:lvlJc w:val="left"/>
      <w:pPr>
        <w:ind w:left="3600" w:hanging="360"/>
      </w:pPr>
    </w:lvl>
    <w:lvl w:ilvl="5" w:tplc="7494B5A4">
      <w:start w:val="1"/>
      <w:numFmt w:val="lowerRoman"/>
      <w:lvlText w:val="%6."/>
      <w:lvlJc w:val="right"/>
      <w:pPr>
        <w:ind w:left="4320" w:hanging="180"/>
      </w:pPr>
    </w:lvl>
    <w:lvl w:ilvl="6" w:tplc="EA6E2564">
      <w:start w:val="1"/>
      <w:numFmt w:val="decimal"/>
      <w:lvlText w:val="%7."/>
      <w:lvlJc w:val="left"/>
      <w:pPr>
        <w:ind w:left="5040" w:hanging="360"/>
      </w:pPr>
    </w:lvl>
    <w:lvl w:ilvl="7" w:tplc="F148D604">
      <w:start w:val="1"/>
      <w:numFmt w:val="lowerLetter"/>
      <w:lvlText w:val="%8."/>
      <w:lvlJc w:val="left"/>
      <w:pPr>
        <w:ind w:left="5760" w:hanging="360"/>
      </w:pPr>
    </w:lvl>
    <w:lvl w:ilvl="8" w:tplc="D51C10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635C"/>
    <w:multiLevelType w:val="hybridMultilevel"/>
    <w:tmpl w:val="F802ED52"/>
    <w:lvl w:ilvl="0" w:tplc="2272F10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AE44E9F8">
      <w:start w:val="1"/>
      <w:numFmt w:val="lowerLetter"/>
      <w:lvlText w:val="%2."/>
      <w:lvlJc w:val="left"/>
      <w:pPr>
        <w:ind w:left="1680" w:hanging="360"/>
      </w:pPr>
    </w:lvl>
    <w:lvl w:ilvl="2" w:tplc="7D664848">
      <w:start w:val="1"/>
      <w:numFmt w:val="lowerRoman"/>
      <w:lvlText w:val="%3."/>
      <w:lvlJc w:val="right"/>
      <w:pPr>
        <w:ind w:left="2400" w:hanging="180"/>
      </w:pPr>
    </w:lvl>
    <w:lvl w:ilvl="3" w:tplc="6E3A21A4">
      <w:start w:val="1"/>
      <w:numFmt w:val="decimal"/>
      <w:lvlText w:val="%4."/>
      <w:lvlJc w:val="left"/>
      <w:pPr>
        <w:ind w:left="3120" w:hanging="360"/>
      </w:pPr>
    </w:lvl>
    <w:lvl w:ilvl="4" w:tplc="D4C29366">
      <w:start w:val="1"/>
      <w:numFmt w:val="lowerLetter"/>
      <w:lvlText w:val="%5."/>
      <w:lvlJc w:val="left"/>
      <w:pPr>
        <w:ind w:left="3840" w:hanging="360"/>
      </w:pPr>
    </w:lvl>
    <w:lvl w:ilvl="5" w:tplc="181C3A7A">
      <w:start w:val="1"/>
      <w:numFmt w:val="lowerRoman"/>
      <w:lvlText w:val="%6."/>
      <w:lvlJc w:val="right"/>
      <w:pPr>
        <w:ind w:left="4560" w:hanging="180"/>
      </w:pPr>
    </w:lvl>
    <w:lvl w:ilvl="6" w:tplc="C114B48E">
      <w:start w:val="1"/>
      <w:numFmt w:val="decimal"/>
      <w:lvlText w:val="%7."/>
      <w:lvlJc w:val="left"/>
      <w:pPr>
        <w:ind w:left="5280" w:hanging="360"/>
      </w:pPr>
    </w:lvl>
    <w:lvl w:ilvl="7" w:tplc="43E63242">
      <w:start w:val="1"/>
      <w:numFmt w:val="lowerLetter"/>
      <w:lvlText w:val="%8."/>
      <w:lvlJc w:val="left"/>
      <w:pPr>
        <w:ind w:left="6000" w:hanging="360"/>
      </w:pPr>
    </w:lvl>
    <w:lvl w:ilvl="8" w:tplc="5554EE10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2930FE5"/>
    <w:multiLevelType w:val="hybridMultilevel"/>
    <w:tmpl w:val="085CFE52"/>
    <w:lvl w:ilvl="0" w:tplc="52EA2C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7BCD020">
      <w:start w:val="1"/>
      <w:numFmt w:val="lowerLetter"/>
      <w:lvlText w:val="%2."/>
      <w:lvlJc w:val="left"/>
      <w:pPr>
        <w:ind w:left="1789" w:hanging="360"/>
      </w:pPr>
    </w:lvl>
    <w:lvl w:ilvl="2" w:tplc="07440A0A">
      <w:start w:val="1"/>
      <w:numFmt w:val="lowerRoman"/>
      <w:lvlText w:val="%3."/>
      <w:lvlJc w:val="right"/>
      <w:pPr>
        <w:ind w:left="2509" w:hanging="180"/>
      </w:pPr>
    </w:lvl>
    <w:lvl w:ilvl="3" w:tplc="986A8032">
      <w:start w:val="1"/>
      <w:numFmt w:val="decimal"/>
      <w:lvlText w:val="%4."/>
      <w:lvlJc w:val="left"/>
      <w:pPr>
        <w:ind w:left="3229" w:hanging="360"/>
      </w:pPr>
    </w:lvl>
    <w:lvl w:ilvl="4" w:tplc="8CA632A0">
      <w:start w:val="1"/>
      <w:numFmt w:val="lowerLetter"/>
      <w:lvlText w:val="%5."/>
      <w:lvlJc w:val="left"/>
      <w:pPr>
        <w:ind w:left="3949" w:hanging="360"/>
      </w:pPr>
    </w:lvl>
    <w:lvl w:ilvl="5" w:tplc="9C0E6A76">
      <w:start w:val="1"/>
      <w:numFmt w:val="lowerRoman"/>
      <w:lvlText w:val="%6."/>
      <w:lvlJc w:val="right"/>
      <w:pPr>
        <w:ind w:left="4669" w:hanging="180"/>
      </w:pPr>
    </w:lvl>
    <w:lvl w:ilvl="6" w:tplc="8D2EAC2E">
      <w:start w:val="1"/>
      <w:numFmt w:val="decimal"/>
      <w:lvlText w:val="%7."/>
      <w:lvlJc w:val="left"/>
      <w:pPr>
        <w:ind w:left="5389" w:hanging="360"/>
      </w:pPr>
    </w:lvl>
    <w:lvl w:ilvl="7" w:tplc="EF8EBAD2">
      <w:start w:val="1"/>
      <w:numFmt w:val="lowerLetter"/>
      <w:lvlText w:val="%8."/>
      <w:lvlJc w:val="left"/>
      <w:pPr>
        <w:ind w:left="6109" w:hanging="360"/>
      </w:pPr>
    </w:lvl>
    <w:lvl w:ilvl="8" w:tplc="7B6C588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965AA8"/>
    <w:multiLevelType w:val="hybridMultilevel"/>
    <w:tmpl w:val="644A059E"/>
    <w:lvl w:ilvl="0" w:tplc="006461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D1E4A90">
      <w:start w:val="1"/>
      <w:numFmt w:val="lowerLetter"/>
      <w:lvlText w:val="%2."/>
      <w:lvlJc w:val="left"/>
      <w:pPr>
        <w:ind w:left="1647" w:hanging="360"/>
      </w:pPr>
    </w:lvl>
    <w:lvl w:ilvl="2" w:tplc="FAD6AE20">
      <w:start w:val="1"/>
      <w:numFmt w:val="lowerRoman"/>
      <w:lvlText w:val="%3."/>
      <w:lvlJc w:val="right"/>
      <w:pPr>
        <w:ind w:left="2367" w:hanging="180"/>
      </w:pPr>
    </w:lvl>
    <w:lvl w:ilvl="3" w:tplc="A02437B2">
      <w:start w:val="1"/>
      <w:numFmt w:val="decimal"/>
      <w:lvlText w:val="%4."/>
      <w:lvlJc w:val="left"/>
      <w:pPr>
        <w:ind w:left="3087" w:hanging="360"/>
      </w:pPr>
    </w:lvl>
    <w:lvl w:ilvl="4" w:tplc="34CA8ECE">
      <w:start w:val="1"/>
      <w:numFmt w:val="lowerLetter"/>
      <w:lvlText w:val="%5."/>
      <w:lvlJc w:val="left"/>
      <w:pPr>
        <w:ind w:left="3807" w:hanging="360"/>
      </w:pPr>
    </w:lvl>
    <w:lvl w:ilvl="5" w:tplc="DF9882B4">
      <w:start w:val="1"/>
      <w:numFmt w:val="lowerRoman"/>
      <w:lvlText w:val="%6."/>
      <w:lvlJc w:val="right"/>
      <w:pPr>
        <w:ind w:left="4527" w:hanging="180"/>
      </w:pPr>
    </w:lvl>
    <w:lvl w:ilvl="6" w:tplc="C72EEBA2">
      <w:start w:val="1"/>
      <w:numFmt w:val="decimal"/>
      <w:lvlText w:val="%7."/>
      <w:lvlJc w:val="left"/>
      <w:pPr>
        <w:ind w:left="5247" w:hanging="360"/>
      </w:pPr>
    </w:lvl>
    <w:lvl w:ilvl="7" w:tplc="261C5C50">
      <w:start w:val="1"/>
      <w:numFmt w:val="lowerLetter"/>
      <w:lvlText w:val="%8."/>
      <w:lvlJc w:val="left"/>
      <w:pPr>
        <w:ind w:left="5967" w:hanging="360"/>
      </w:pPr>
    </w:lvl>
    <w:lvl w:ilvl="8" w:tplc="E1200C0A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613511"/>
    <w:multiLevelType w:val="hybridMultilevel"/>
    <w:tmpl w:val="F57C4CAA"/>
    <w:lvl w:ilvl="0" w:tplc="85B4A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6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2C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EE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26D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94B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2ADA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470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2E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25F00"/>
    <w:multiLevelType w:val="hybridMultilevel"/>
    <w:tmpl w:val="BE96285A"/>
    <w:lvl w:ilvl="0" w:tplc="4C720422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E4A2CF60">
      <w:start w:val="1"/>
      <w:numFmt w:val="lowerLetter"/>
      <w:lvlText w:val="%2."/>
      <w:lvlJc w:val="left"/>
      <w:pPr>
        <w:ind w:left="1080" w:hanging="360"/>
      </w:pPr>
    </w:lvl>
    <w:lvl w:ilvl="2" w:tplc="5540CFA0">
      <w:start w:val="1"/>
      <w:numFmt w:val="lowerRoman"/>
      <w:lvlText w:val="%3."/>
      <w:lvlJc w:val="right"/>
      <w:pPr>
        <w:ind w:left="1800" w:hanging="180"/>
      </w:pPr>
    </w:lvl>
    <w:lvl w:ilvl="3" w:tplc="A85094E4">
      <w:start w:val="1"/>
      <w:numFmt w:val="decimal"/>
      <w:lvlText w:val="%4."/>
      <w:lvlJc w:val="left"/>
      <w:pPr>
        <w:ind w:left="2520" w:hanging="360"/>
      </w:pPr>
    </w:lvl>
    <w:lvl w:ilvl="4" w:tplc="67801742">
      <w:start w:val="1"/>
      <w:numFmt w:val="lowerLetter"/>
      <w:lvlText w:val="%5."/>
      <w:lvlJc w:val="left"/>
      <w:pPr>
        <w:ind w:left="3240" w:hanging="360"/>
      </w:pPr>
    </w:lvl>
    <w:lvl w:ilvl="5" w:tplc="B20CFC06">
      <w:start w:val="1"/>
      <w:numFmt w:val="lowerRoman"/>
      <w:lvlText w:val="%6."/>
      <w:lvlJc w:val="right"/>
      <w:pPr>
        <w:ind w:left="3960" w:hanging="180"/>
      </w:pPr>
    </w:lvl>
    <w:lvl w:ilvl="6" w:tplc="3A765032">
      <w:start w:val="1"/>
      <w:numFmt w:val="decimal"/>
      <w:lvlText w:val="%7."/>
      <w:lvlJc w:val="left"/>
      <w:pPr>
        <w:ind w:left="4680" w:hanging="360"/>
      </w:pPr>
    </w:lvl>
    <w:lvl w:ilvl="7" w:tplc="11900D02">
      <w:start w:val="1"/>
      <w:numFmt w:val="lowerLetter"/>
      <w:lvlText w:val="%8."/>
      <w:lvlJc w:val="left"/>
      <w:pPr>
        <w:ind w:left="5400" w:hanging="360"/>
      </w:pPr>
    </w:lvl>
    <w:lvl w:ilvl="8" w:tplc="75B2CFE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D52D6"/>
    <w:multiLevelType w:val="hybridMultilevel"/>
    <w:tmpl w:val="6890FBAC"/>
    <w:lvl w:ilvl="0" w:tplc="9CF27108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A4AABB3E">
      <w:start w:val="1"/>
      <w:numFmt w:val="lowerLetter"/>
      <w:lvlText w:val="%2."/>
      <w:lvlJc w:val="left"/>
      <w:pPr>
        <w:ind w:left="1755" w:hanging="360"/>
      </w:pPr>
    </w:lvl>
    <w:lvl w:ilvl="2" w:tplc="B54C9CC4">
      <w:start w:val="1"/>
      <w:numFmt w:val="lowerRoman"/>
      <w:lvlText w:val="%3."/>
      <w:lvlJc w:val="right"/>
      <w:pPr>
        <w:ind w:left="2475" w:hanging="180"/>
      </w:pPr>
    </w:lvl>
    <w:lvl w:ilvl="3" w:tplc="93D25F82">
      <w:start w:val="1"/>
      <w:numFmt w:val="decimal"/>
      <w:lvlText w:val="%4."/>
      <w:lvlJc w:val="left"/>
      <w:pPr>
        <w:ind w:left="3195" w:hanging="360"/>
      </w:pPr>
    </w:lvl>
    <w:lvl w:ilvl="4" w:tplc="8952B2D8">
      <w:start w:val="1"/>
      <w:numFmt w:val="lowerLetter"/>
      <w:lvlText w:val="%5."/>
      <w:lvlJc w:val="left"/>
      <w:pPr>
        <w:ind w:left="3915" w:hanging="360"/>
      </w:pPr>
    </w:lvl>
    <w:lvl w:ilvl="5" w:tplc="847ADC72">
      <w:start w:val="1"/>
      <w:numFmt w:val="lowerRoman"/>
      <w:lvlText w:val="%6."/>
      <w:lvlJc w:val="right"/>
      <w:pPr>
        <w:ind w:left="4635" w:hanging="180"/>
      </w:pPr>
    </w:lvl>
    <w:lvl w:ilvl="6" w:tplc="B5D65888">
      <w:start w:val="1"/>
      <w:numFmt w:val="decimal"/>
      <w:lvlText w:val="%7."/>
      <w:lvlJc w:val="left"/>
      <w:pPr>
        <w:ind w:left="5355" w:hanging="360"/>
      </w:pPr>
    </w:lvl>
    <w:lvl w:ilvl="7" w:tplc="BBC4CE54">
      <w:start w:val="1"/>
      <w:numFmt w:val="lowerLetter"/>
      <w:lvlText w:val="%8."/>
      <w:lvlJc w:val="left"/>
      <w:pPr>
        <w:ind w:left="6075" w:hanging="360"/>
      </w:pPr>
    </w:lvl>
    <w:lvl w:ilvl="8" w:tplc="070CCAAC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4415B39"/>
    <w:multiLevelType w:val="hybridMultilevel"/>
    <w:tmpl w:val="E578DE70"/>
    <w:lvl w:ilvl="0" w:tplc="F64A30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7D6C20A8">
      <w:start w:val="1"/>
      <w:numFmt w:val="lowerLetter"/>
      <w:lvlText w:val="%2."/>
      <w:lvlJc w:val="left"/>
      <w:pPr>
        <w:ind w:left="1785" w:hanging="360"/>
      </w:pPr>
    </w:lvl>
    <w:lvl w:ilvl="2" w:tplc="543C0C58">
      <w:start w:val="1"/>
      <w:numFmt w:val="lowerRoman"/>
      <w:lvlText w:val="%3."/>
      <w:lvlJc w:val="right"/>
      <w:pPr>
        <w:ind w:left="2505" w:hanging="180"/>
      </w:pPr>
    </w:lvl>
    <w:lvl w:ilvl="3" w:tplc="E132E4A8">
      <w:start w:val="1"/>
      <w:numFmt w:val="decimal"/>
      <w:lvlText w:val="%4."/>
      <w:lvlJc w:val="left"/>
      <w:pPr>
        <w:ind w:left="3225" w:hanging="360"/>
      </w:pPr>
    </w:lvl>
    <w:lvl w:ilvl="4" w:tplc="B5D6771A">
      <w:start w:val="1"/>
      <w:numFmt w:val="lowerLetter"/>
      <w:lvlText w:val="%5."/>
      <w:lvlJc w:val="left"/>
      <w:pPr>
        <w:ind w:left="3945" w:hanging="360"/>
      </w:pPr>
    </w:lvl>
    <w:lvl w:ilvl="5" w:tplc="C512D236">
      <w:start w:val="1"/>
      <w:numFmt w:val="lowerRoman"/>
      <w:lvlText w:val="%6."/>
      <w:lvlJc w:val="right"/>
      <w:pPr>
        <w:ind w:left="4665" w:hanging="180"/>
      </w:pPr>
    </w:lvl>
    <w:lvl w:ilvl="6" w:tplc="11AA2A66">
      <w:start w:val="1"/>
      <w:numFmt w:val="decimal"/>
      <w:lvlText w:val="%7."/>
      <w:lvlJc w:val="left"/>
      <w:pPr>
        <w:ind w:left="5385" w:hanging="360"/>
      </w:pPr>
    </w:lvl>
    <w:lvl w:ilvl="7" w:tplc="CF2A17A4">
      <w:start w:val="1"/>
      <w:numFmt w:val="lowerLetter"/>
      <w:lvlText w:val="%8."/>
      <w:lvlJc w:val="left"/>
      <w:pPr>
        <w:ind w:left="6105" w:hanging="360"/>
      </w:pPr>
    </w:lvl>
    <w:lvl w:ilvl="8" w:tplc="61A8C9C2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01344C"/>
    <w:multiLevelType w:val="hybridMultilevel"/>
    <w:tmpl w:val="04626BA8"/>
    <w:lvl w:ilvl="0" w:tplc="702497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46685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F45C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86EC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A4B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C041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E649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4EF0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B47F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33446EB"/>
    <w:multiLevelType w:val="hybridMultilevel"/>
    <w:tmpl w:val="D25CADC2"/>
    <w:lvl w:ilvl="0" w:tplc="571E6DC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ECF2BE0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6A4ED26C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17EC17B2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DE2853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B380C0BE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D2DA6C4E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7B6F6A6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D682DB7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0" w15:restartNumberingAfterBreak="0">
    <w:nsid w:val="5FC961B6"/>
    <w:multiLevelType w:val="hybridMultilevel"/>
    <w:tmpl w:val="BB7653DA"/>
    <w:lvl w:ilvl="0" w:tplc="3F2AB5C4">
      <w:start w:val="1"/>
      <w:numFmt w:val="decimal"/>
      <w:lvlText w:val="%1)"/>
      <w:lvlJc w:val="right"/>
      <w:pPr>
        <w:ind w:left="709" w:hanging="360"/>
      </w:pPr>
    </w:lvl>
    <w:lvl w:ilvl="1" w:tplc="B58AE662">
      <w:start w:val="1"/>
      <w:numFmt w:val="lowerLetter"/>
      <w:lvlText w:val="%2."/>
      <w:lvlJc w:val="left"/>
      <w:pPr>
        <w:ind w:left="1429" w:hanging="360"/>
      </w:pPr>
    </w:lvl>
    <w:lvl w:ilvl="2" w:tplc="CB1A5320">
      <w:start w:val="1"/>
      <w:numFmt w:val="lowerRoman"/>
      <w:lvlText w:val="%3."/>
      <w:lvlJc w:val="right"/>
      <w:pPr>
        <w:ind w:left="2149" w:hanging="180"/>
      </w:pPr>
    </w:lvl>
    <w:lvl w:ilvl="3" w:tplc="675A52E8">
      <w:start w:val="1"/>
      <w:numFmt w:val="decimal"/>
      <w:lvlText w:val="%4."/>
      <w:lvlJc w:val="left"/>
      <w:pPr>
        <w:ind w:left="2869" w:hanging="360"/>
      </w:pPr>
    </w:lvl>
    <w:lvl w:ilvl="4" w:tplc="0E623F5E">
      <w:start w:val="1"/>
      <w:numFmt w:val="lowerLetter"/>
      <w:lvlText w:val="%5."/>
      <w:lvlJc w:val="left"/>
      <w:pPr>
        <w:ind w:left="3589" w:hanging="360"/>
      </w:pPr>
    </w:lvl>
    <w:lvl w:ilvl="5" w:tplc="492EFAA4">
      <w:start w:val="1"/>
      <w:numFmt w:val="lowerRoman"/>
      <w:lvlText w:val="%6."/>
      <w:lvlJc w:val="right"/>
      <w:pPr>
        <w:ind w:left="4309" w:hanging="180"/>
      </w:pPr>
    </w:lvl>
    <w:lvl w:ilvl="6" w:tplc="17AA168A">
      <w:start w:val="1"/>
      <w:numFmt w:val="decimal"/>
      <w:lvlText w:val="%7."/>
      <w:lvlJc w:val="left"/>
      <w:pPr>
        <w:ind w:left="5029" w:hanging="360"/>
      </w:pPr>
    </w:lvl>
    <w:lvl w:ilvl="7" w:tplc="EFFE87DE">
      <w:start w:val="1"/>
      <w:numFmt w:val="lowerLetter"/>
      <w:lvlText w:val="%8."/>
      <w:lvlJc w:val="left"/>
      <w:pPr>
        <w:ind w:left="5749" w:hanging="360"/>
      </w:pPr>
    </w:lvl>
    <w:lvl w:ilvl="8" w:tplc="C12AD9CA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66910845"/>
    <w:multiLevelType w:val="hybridMultilevel"/>
    <w:tmpl w:val="EE88763C"/>
    <w:lvl w:ilvl="0" w:tplc="722A3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4FCB1F0">
      <w:start w:val="1"/>
      <w:numFmt w:val="lowerLetter"/>
      <w:lvlText w:val="%2."/>
      <w:lvlJc w:val="left"/>
      <w:pPr>
        <w:ind w:left="1440" w:hanging="360"/>
      </w:pPr>
    </w:lvl>
    <w:lvl w:ilvl="2" w:tplc="CC402BBE">
      <w:start w:val="1"/>
      <w:numFmt w:val="lowerRoman"/>
      <w:lvlText w:val="%3."/>
      <w:lvlJc w:val="right"/>
      <w:pPr>
        <w:ind w:left="2160" w:hanging="180"/>
      </w:pPr>
    </w:lvl>
    <w:lvl w:ilvl="3" w:tplc="5DA86FA8">
      <w:start w:val="1"/>
      <w:numFmt w:val="decimal"/>
      <w:lvlText w:val="%4."/>
      <w:lvlJc w:val="left"/>
      <w:pPr>
        <w:ind w:left="2880" w:hanging="360"/>
      </w:pPr>
    </w:lvl>
    <w:lvl w:ilvl="4" w:tplc="07D8627A">
      <w:start w:val="1"/>
      <w:numFmt w:val="lowerLetter"/>
      <w:lvlText w:val="%5."/>
      <w:lvlJc w:val="left"/>
      <w:pPr>
        <w:ind w:left="3600" w:hanging="360"/>
      </w:pPr>
    </w:lvl>
    <w:lvl w:ilvl="5" w:tplc="5F34E1B4">
      <w:start w:val="1"/>
      <w:numFmt w:val="lowerRoman"/>
      <w:lvlText w:val="%6."/>
      <w:lvlJc w:val="right"/>
      <w:pPr>
        <w:ind w:left="4320" w:hanging="180"/>
      </w:pPr>
    </w:lvl>
    <w:lvl w:ilvl="6" w:tplc="71C28972">
      <w:start w:val="1"/>
      <w:numFmt w:val="decimal"/>
      <w:lvlText w:val="%7."/>
      <w:lvlJc w:val="left"/>
      <w:pPr>
        <w:ind w:left="5040" w:hanging="360"/>
      </w:pPr>
    </w:lvl>
    <w:lvl w:ilvl="7" w:tplc="56F45C9C">
      <w:start w:val="1"/>
      <w:numFmt w:val="lowerLetter"/>
      <w:lvlText w:val="%8."/>
      <w:lvlJc w:val="left"/>
      <w:pPr>
        <w:ind w:left="5760" w:hanging="360"/>
      </w:pPr>
    </w:lvl>
    <w:lvl w:ilvl="8" w:tplc="3782F1E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E201E"/>
    <w:multiLevelType w:val="hybridMultilevel"/>
    <w:tmpl w:val="AF642DB2"/>
    <w:lvl w:ilvl="0" w:tplc="53C65AAC">
      <w:start w:val="1"/>
      <w:numFmt w:val="decimal"/>
      <w:lvlText w:val="%1)"/>
      <w:lvlJc w:val="right"/>
      <w:pPr>
        <w:ind w:left="709" w:hanging="360"/>
      </w:pPr>
    </w:lvl>
    <w:lvl w:ilvl="1" w:tplc="FE92ACBA">
      <w:start w:val="1"/>
      <w:numFmt w:val="lowerLetter"/>
      <w:lvlText w:val="%2."/>
      <w:lvlJc w:val="left"/>
      <w:pPr>
        <w:ind w:left="1429" w:hanging="360"/>
      </w:pPr>
    </w:lvl>
    <w:lvl w:ilvl="2" w:tplc="E4B4828C">
      <w:start w:val="1"/>
      <w:numFmt w:val="lowerRoman"/>
      <w:lvlText w:val="%3."/>
      <w:lvlJc w:val="right"/>
      <w:pPr>
        <w:ind w:left="2149" w:hanging="180"/>
      </w:pPr>
    </w:lvl>
    <w:lvl w:ilvl="3" w:tplc="D48CA822">
      <w:start w:val="1"/>
      <w:numFmt w:val="decimal"/>
      <w:lvlText w:val="%4."/>
      <w:lvlJc w:val="left"/>
      <w:pPr>
        <w:ind w:left="2869" w:hanging="360"/>
      </w:pPr>
    </w:lvl>
    <w:lvl w:ilvl="4" w:tplc="B224BC42">
      <w:start w:val="1"/>
      <w:numFmt w:val="lowerLetter"/>
      <w:lvlText w:val="%5."/>
      <w:lvlJc w:val="left"/>
      <w:pPr>
        <w:ind w:left="3589" w:hanging="360"/>
      </w:pPr>
    </w:lvl>
    <w:lvl w:ilvl="5" w:tplc="D1B6B1C8">
      <w:start w:val="1"/>
      <w:numFmt w:val="lowerRoman"/>
      <w:lvlText w:val="%6."/>
      <w:lvlJc w:val="right"/>
      <w:pPr>
        <w:ind w:left="4309" w:hanging="180"/>
      </w:pPr>
    </w:lvl>
    <w:lvl w:ilvl="6" w:tplc="EA74F68A">
      <w:start w:val="1"/>
      <w:numFmt w:val="decimal"/>
      <w:lvlText w:val="%7."/>
      <w:lvlJc w:val="left"/>
      <w:pPr>
        <w:ind w:left="5029" w:hanging="360"/>
      </w:pPr>
    </w:lvl>
    <w:lvl w:ilvl="7" w:tplc="9B22169C">
      <w:start w:val="1"/>
      <w:numFmt w:val="lowerLetter"/>
      <w:lvlText w:val="%8."/>
      <w:lvlJc w:val="left"/>
      <w:pPr>
        <w:ind w:left="5749" w:hanging="360"/>
      </w:pPr>
    </w:lvl>
    <w:lvl w:ilvl="8" w:tplc="D124D662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6FE91F23"/>
    <w:multiLevelType w:val="hybridMultilevel"/>
    <w:tmpl w:val="7F00836A"/>
    <w:lvl w:ilvl="0" w:tplc="DE72737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F3AEE8CA">
      <w:start w:val="1"/>
      <w:numFmt w:val="lowerLetter"/>
      <w:lvlText w:val="%2."/>
      <w:lvlJc w:val="left"/>
      <w:pPr>
        <w:ind w:left="1440" w:hanging="360"/>
      </w:pPr>
    </w:lvl>
    <w:lvl w:ilvl="2" w:tplc="19DEAE4C">
      <w:start w:val="1"/>
      <w:numFmt w:val="lowerRoman"/>
      <w:lvlText w:val="%3."/>
      <w:lvlJc w:val="right"/>
      <w:pPr>
        <w:ind w:left="2160" w:hanging="180"/>
      </w:pPr>
    </w:lvl>
    <w:lvl w:ilvl="3" w:tplc="23C49F2C">
      <w:start w:val="1"/>
      <w:numFmt w:val="decimal"/>
      <w:lvlText w:val="%4."/>
      <w:lvlJc w:val="left"/>
      <w:pPr>
        <w:ind w:left="2880" w:hanging="360"/>
      </w:pPr>
    </w:lvl>
    <w:lvl w:ilvl="4" w:tplc="FBB85E1C">
      <w:start w:val="1"/>
      <w:numFmt w:val="lowerLetter"/>
      <w:lvlText w:val="%5."/>
      <w:lvlJc w:val="left"/>
      <w:pPr>
        <w:ind w:left="3600" w:hanging="360"/>
      </w:pPr>
    </w:lvl>
    <w:lvl w:ilvl="5" w:tplc="BABA0948">
      <w:start w:val="1"/>
      <w:numFmt w:val="lowerRoman"/>
      <w:lvlText w:val="%6."/>
      <w:lvlJc w:val="right"/>
      <w:pPr>
        <w:ind w:left="4320" w:hanging="180"/>
      </w:pPr>
    </w:lvl>
    <w:lvl w:ilvl="6" w:tplc="6BE6C8BA">
      <w:start w:val="1"/>
      <w:numFmt w:val="decimal"/>
      <w:lvlText w:val="%7."/>
      <w:lvlJc w:val="left"/>
      <w:pPr>
        <w:ind w:left="5040" w:hanging="360"/>
      </w:pPr>
    </w:lvl>
    <w:lvl w:ilvl="7" w:tplc="1CB24256">
      <w:start w:val="1"/>
      <w:numFmt w:val="lowerLetter"/>
      <w:lvlText w:val="%8."/>
      <w:lvlJc w:val="left"/>
      <w:pPr>
        <w:ind w:left="5760" w:hanging="360"/>
      </w:pPr>
    </w:lvl>
    <w:lvl w:ilvl="8" w:tplc="46E04B3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A06F3"/>
    <w:multiLevelType w:val="hybridMultilevel"/>
    <w:tmpl w:val="AAB2227A"/>
    <w:lvl w:ilvl="0" w:tplc="2C2CE5F2">
      <w:start w:val="1"/>
      <w:numFmt w:val="lowerLetter"/>
      <w:lvlText w:val="%1)"/>
      <w:lvlJc w:val="left"/>
      <w:pPr>
        <w:ind w:left="1785" w:hanging="360"/>
      </w:pPr>
    </w:lvl>
    <w:lvl w:ilvl="1" w:tplc="FCD04D70">
      <w:start w:val="1"/>
      <w:numFmt w:val="lowerLetter"/>
      <w:lvlText w:val="%2."/>
      <w:lvlJc w:val="left"/>
      <w:pPr>
        <w:ind w:left="2505" w:hanging="360"/>
      </w:pPr>
    </w:lvl>
    <w:lvl w:ilvl="2" w:tplc="343893B4">
      <w:start w:val="1"/>
      <w:numFmt w:val="lowerRoman"/>
      <w:lvlText w:val="%3."/>
      <w:lvlJc w:val="right"/>
      <w:pPr>
        <w:ind w:left="3225" w:hanging="180"/>
      </w:pPr>
    </w:lvl>
    <w:lvl w:ilvl="3" w:tplc="E7DED6D2">
      <w:start w:val="1"/>
      <w:numFmt w:val="decimal"/>
      <w:lvlText w:val="%4."/>
      <w:lvlJc w:val="left"/>
      <w:pPr>
        <w:ind w:left="3945" w:hanging="360"/>
      </w:pPr>
    </w:lvl>
    <w:lvl w:ilvl="4" w:tplc="D41AAB84">
      <w:start w:val="1"/>
      <w:numFmt w:val="lowerLetter"/>
      <w:lvlText w:val="%5."/>
      <w:lvlJc w:val="left"/>
      <w:pPr>
        <w:ind w:left="4665" w:hanging="360"/>
      </w:pPr>
    </w:lvl>
    <w:lvl w:ilvl="5" w:tplc="604EF9AC">
      <w:start w:val="1"/>
      <w:numFmt w:val="lowerRoman"/>
      <w:lvlText w:val="%6."/>
      <w:lvlJc w:val="right"/>
      <w:pPr>
        <w:ind w:left="5385" w:hanging="180"/>
      </w:pPr>
    </w:lvl>
    <w:lvl w:ilvl="6" w:tplc="CEFC50DE">
      <w:start w:val="1"/>
      <w:numFmt w:val="decimal"/>
      <w:lvlText w:val="%7."/>
      <w:lvlJc w:val="left"/>
      <w:pPr>
        <w:ind w:left="6105" w:hanging="360"/>
      </w:pPr>
    </w:lvl>
    <w:lvl w:ilvl="7" w:tplc="EF02C0D6">
      <w:start w:val="1"/>
      <w:numFmt w:val="lowerLetter"/>
      <w:lvlText w:val="%8."/>
      <w:lvlJc w:val="left"/>
      <w:pPr>
        <w:ind w:left="6825" w:hanging="360"/>
      </w:pPr>
    </w:lvl>
    <w:lvl w:ilvl="8" w:tplc="5EBEF7AC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9"/>
    <w:lvlOverride w:ilvl="0">
      <w:lvl w:ilvl="0" w:tplc="571E6DCE">
        <w:start w:val="1"/>
        <w:numFmt w:val="lowerLetter"/>
        <w:lvlText w:val="%1."/>
        <w:lvlJc w:val="left"/>
      </w:lvl>
    </w:lvlOverride>
  </w:num>
  <w:num w:numId="2">
    <w:abstractNumId w:val="4"/>
  </w:num>
  <w:num w:numId="3">
    <w:abstractNumId w:val="13"/>
  </w:num>
  <w:num w:numId="4">
    <w:abstractNumId w:val="1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3A"/>
    <w:rsid w:val="001B50A4"/>
    <w:rsid w:val="00757A44"/>
    <w:rsid w:val="00B86D2E"/>
    <w:rsid w:val="00C0233A"/>
    <w:rsid w:val="00C94932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127C7B-7416-44EF-85AB-5F84FBE8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Normlnweb">
    <w:name w:val="Normal (Web)"/>
    <w:basedOn w:val="Normln"/>
    <w:uiPriority w:val="99"/>
    <w:unhideWhenUsed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data">
    <w:name w:val="docdata"/>
    <w:basedOn w:val="Normln"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B95008A-E0F8-4D3A-9FFF-D9B9FD5AD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1171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Langerová</dc:creator>
  <cp:keywords/>
  <dc:description/>
  <cp:lastModifiedBy>Monika Martoniková</cp:lastModifiedBy>
  <cp:revision>13</cp:revision>
  <dcterms:created xsi:type="dcterms:W3CDTF">2022-10-20T07:16:00Z</dcterms:created>
  <dcterms:modified xsi:type="dcterms:W3CDTF">2023-01-03T08:23:00Z</dcterms:modified>
</cp:coreProperties>
</file>