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3A" w:rsidRDefault="00757A44">
      <w:pPr>
        <w:pStyle w:val="docdata"/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Město Nový Jičín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Zastupitelstvo města Nový Jičín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Obecně závazná vyhláška města Nový Jičín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o místním poplatku za obecní systém odpadového hospodářství</w:t>
      </w:r>
    </w:p>
    <w:p w:rsidR="00C0233A" w:rsidRDefault="00757A44">
      <w:pPr>
        <w:pStyle w:val="Normlnweb"/>
        <w:spacing w:after="0"/>
        <w:jc w:val="center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rFonts w:ascii="onlyofficedefaultfont" w:hAnsi="onlyofficedefaultfont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2977"/>
        </w:tabs>
        <w:spacing w:after="0"/>
        <w:jc w:val="both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rFonts w:ascii="onlyofficedefaultfont" w:hAnsi="onlyofficedefaultfont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2977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Zastupitelstvo města Nový Jičín se na svém zasedání dne 19.</w:t>
      </w:r>
      <w:r w:rsidR="00FA2DC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12.</w:t>
      </w:r>
      <w:r w:rsidR="00FA2DC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2022</w:t>
      </w:r>
      <w:r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FA2DC1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x/Z/2022 usneslo vydat na základě § 14 zákona č. 565/1990 Sb., o místních poplatcích, </w:t>
      </w:r>
      <w:r w:rsidR="00FA2DC1">
        <w:rPr>
          <w:rFonts w:ascii="Arial" w:hAnsi="Arial" w:cs="Arial"/>
          <w:color w:val="000000"/>
          <w:sz w:val="22"/>
          <w:szCs w:val="22"/>
        </w:rPr>
        <w:t>ve znění</w:t>
      </w:r>
      <w:r>
        <w:rPr>
          <w:rFonts w:ascii="Arial" w:hAnsi="Arial" w:cs="Arial"/>
          <w:color w:val="000000"/>
          <w:sz w:val="22"/>
          <w:szCs w:val="22"/>
        </w:rPr>
        <w:t xml:space="preserve"> pozdějších předpisů (dále jen „zákon o místních poplatcích“), a v souladu s § 10 písm.</w:t>
      </w:r>
      <w:r w:rsidR="00C94932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d)</w:t>
      </w:r>
      <w:r w:rsidR="00C94932">
        <w:rPr>
          <w:rFonts w:ascii="Arial" w:hAnsi="Arial" w:cs="Arial"/>
          <w:color w:val="000000"/>
          <w:sz w:val="22"/>
          <w:szCs w:val="22"/>
        </w:rPr>
        <w:t xml:space="preserve"> a </w:t>
      </w:r>
      <w:r>
        <w:rPr>
          <w:rFonts w:ascii="Arial" w:hAnsi="Arial" w:cs="Arial"/>
          <w:color w:val="000000"/>
          <w:sz w:val="22"/>
          <w:szCs w:val="22"/>
        </w:rPr>
        <w:t xml:space="preserve">§ 84 odst. 2 písm. h) zákona č. 128/2000 Sb., o obcích </w:t>
      </w:r>
      <w:r>
        <w:rPr>
          <w:rFonts w:ascii="Arial" w:hAnsi="Arial" w:cs="Arial"/>
          <w:color w:val="000000"/>
          <w:sz w:val="22"/>
          <w:szCs w:val="22"/>
        </w:rPr>
        <w:t xml:space="preserve">(obecní zřízení), ve znění pozdějších předpisů, tuto obecně závaznou vyhlášku (dále jen „tato vyhláška“): </w:t>
      </w:r>
    </w:p>
    <w:p w:rsidR="00C0233A" w:rsidRDefault="00757A44">
      <w:pPr>
        <w:pStyle w:val="Normlnweb"/>
        <w:tabs>
          <w:tab w:val="left" w:pos="2977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2977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Úvodní ustanovení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Město Nový Jičín touto vyhláškou zavádí místní poplatek za obecní systém odpadového hospodářství (dále jen „poplate</w:t>
      </w:r>
      <w:r>
        <w:rPr>
          <w:rFonts w:ascii="Arial" w:hAnsi="Arial" w:cs="Arial"/>
          <w:color w:val="000000"/>
          <w:sz w:val="22"/>
          <w:szCs w:val="22"/>
        </w:rPr>
        <w:t>k“).</w:t>
      </w:r>
    </w:p>
    <w:p w:rsidR="00C0233A" w:rsidRDefault="00757A44">
      <w:pPr>
        <w:pStyle w:val="Normlnweb"/>
        <w:tabs>
          <w:tab w:val="left" w:pos="567"/>
        </w:tabs>
        <w:spacing w:after="0"/>
        <w:ind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gramStart"/>
      <w:r>
        <w:rPr>
          <w:rFonts w:ascii="Arial" w:hAnsi="Arial" w:cs="Arial"/>
          <w:color w:val="000000"/>
          <w:sz w:val="22"/>
          <w:szCs w:val="22"/>
        </w:rPr>
        <w:t>(2)     Správcem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poplatku je Městský úřad Nový Jičín.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Poplatník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C0233A" w:rsidRDefault="00C0233A">
      <w:pPr>
        <w:pStyle w:val="Normlnweb"/>
        <w:spacing w:after="0"/>
        <w:ind w:left="106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5"/>
        </w:numPr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fyzická osoba přihlášená ve městě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</w:rPr>
        <w:t>nebo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</w:p>
    <w:p w:rsidR="00C0233A" w:rsidRDefault="00757A44">
      <w:pPr>
        <w:pStyle w:val="Normlnweb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vlastník nemovité věci zahrnující byt, rodinný dům nebo stavbu pro rodinnou rekreaci</w:t>
      </w:r>
      <w:r>
        <w:rPr>
          <w:rFonts w:ascii="Arial" w:hAnsi="Arial" w:cs="Arial"/>
          <w:color w:val="000000"/>
          <w:sz w:val="22"/>
          <w:szCs w:val="22"/>
        </w:rPr>
        <w:t>, ve které není přihlášená žádná fyzická osoba a která je umístěna na území města.</w:t>
      </w:r>
    </w:p>
    <w:p w:rsidR="00C0233A" w:rsidRDefault="00C0233A">
      <w:pPr>
        <w:pStyle w:val="Normlnweb"/>
        <w:spacing w:after="0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(2)   Spoluvlastníci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nemovité  věci  zahrnující  byt, rodinný  dům  nebo  stavbu  pro  rodinnou 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rekreaci jsou povinni plnit poplatkovou povinnost společně a nerozd</w:t>
      </w:r>
      <w:r>
        <w:rPr>
          <w:rFonts w:ascii="Arial" w:hAnsi="Arial" w:cs="Arial"/>
          <w:color w:val="000000"/>
          <w:sz w:val="22"/>
          <w:szCs w:val="22"/>
        </w:rPr>
        <w:t>ílně.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4"/>
      </w:r>
    </w:p>
    <w:p w:rsidR="00C0233A" w:rsidRDefault="00757A44">
      <w:pPr>
        <w:pStyle w:val="Normlnweb"/>
        <w:spacing w:after="0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ind w:left="703" w:hanging="703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3</w:t>
      </w:r>
    </w:p>
    <w:p w:rsidR="00C0233A" w:rsidRDefault="00757A44">
      <w:pPr>
        <w:pStyle w:val="Normlnweb"/>
        <w:spacing w:after="0"/>
        <w:ind w:left="703" w:hanging="703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Poplatkové období</w:t>
      </w:r>
    </w:p>
    <w:p w:rsidR="00C0233A" w:rsidRDefault="00C0233A">
      <w:pPr>
        <w:pStyle w:val="Normlnweb"/>
        <w:spacing w:after="0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   Poplatkovým obdobím poplatku je kalendářní rok.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5"/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Čl. 4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Ohlašovací povinnost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Poplatník je povinen podat správci poplatku ohlášení nejpozději do 15 dnů ode dne vzniku své poplatkové povinnosti.</w:t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6"/>
      </w:r>
    </w:p>
    <w:p w:rsidR="00C0233A" w:rsidRDefault="00C0233A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</w:t>
      </w:r>
      <w:r>
        <w:rPr>
          <w:rFonts w:ascii="Arial" w:hAnsi="Arial" w:cs="Arial"/>
          <w:color w:val="000000"/>
          <w:sz w:val="22"/>
          <w:szCs w:val="22"/>
        </w:rPr>
        <w:t>právněny jednat v poplatkových věcech,</w:t>
      </w:r>
    </w:p>
    <w:p w:rsidR="00C0233A" w:rsidRDefault="00C0233A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</w:t>
      </w:r>
      <w:r>
        <w:rPr>
          <w:rFonts w:ascii="Arial" w:hAnsi="Arial" w:cs="Arial"/>
          <w:color w:val="000000"/>
          <w:sz w:val="22"/>
          <w:szCs w:val="22"/>
        </w:rPr>
        <w:t>ností poplatníka,</w:t>
      </w:r>
    </w:p>
    <w:p w:rsidR="00C0233A" w:rsidRDefault="00C0233A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</w:t>
      </w:r>
      <w:r>
        <w:rPr>
          <w:rFonts w:ascii="Arial" w:hAnsi="Arial" w:cs="Arial"/>
          <w:color w:val="000000"/>
          <w:sz w:val="22"/>
          <w:szCs w:val="22"/>
        </w:rPr>
        <w:t>, rodinný dům nebo stavbu pro rodinnou rekreaci podle katastru nemovitostí.</w:t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(3)</w:t>
      </w:r>
      <w:r>
        <w:rPr>
          <w:rFonts w:ascii="Arial" w:hAnsi="Arial" w:cs="Arial"/>
          <w:color w:val="000000"/>
          <w:sz w:val="22"/>
          <w:szCs w:val="22"/>
        </w:rPr>
        <w:tab/>
        <w:t>Poplatník, který nemá sídlo nebo bydliště na území členského státu Evropské unie, jiného smluvního státu Dohody o Evropském hospodářském prostoru nebo Švýcarské konfederace, u</w:t>
      </w:r>
      <w:r>
        <w:rPr>
          <w:rFonts w:ascii="Arial" w:hAnsi="Arial" w:cs="Arial"/>
          <w:color w:val="000000"/>
          <w:sz w:val="22"/>
          <w:szCs w:val="22"/>
        </w:rPr>
        <w:t>vede také adresu svého zmocněnce v tuzemsku pro doručování.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7"/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(4)</w:t>
      </w:r>
      <w:r>
        <w:rPr>
          <w:rFonts w:ascii="Arial" w:hAnsi="Arial" w:cs="Arial"/>
          <w:color w:val="000000"/>
          <w:sz w:val="22"/>
          <w:szCs w:val="22"/>
        </w:rPr>
        <w:tab/>
        <w:t>Dojde-li ke změně údajů uvedených v ohlášení, je poplatník povinen tuto změnu oznámit do 15 dnů ode dne, kdy nastala.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8"/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(5)</w:t>
      </w:r>
      <w:r>
        <w:rPr>
          <w:rFonts w:ascii="Arial" w:hAnsi="Arial" w:cs="Arial"/>
          <w:color w:val="000000"/>
          <w:sz w:val="22"/>
          <w:szCs w:val="22"/>
        </w:rPr>
        <w:tab/>
        <w:t>Povinnost ohlási</w:t>
      </w:r>
      <w:r>
        <w:rPr>
          <w:rFonts w:ascii="Arial" w:hAnsi="Arial" w:cs="Arial"/>
          <w:color w:val="000000"/>
          <w:sz w:val="22"/>
          <w:szCs w:val="22"/>
        </w:rPr>
        <w:t>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9"/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5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Sazba poplatku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Sazba poplatku činí</w:t>
      </w:r>
      <w:r>
        <w:rPr>
          <w:rFonts w:ascii="Arial" w:hAnsi="Arial" w:cs="Arial"/>
          <w:bCs/>
          <w:color w:val="000000"/>
          <w:sz w:val="22"/>
          <w:szCs w:val="22"/>
        </w:rPr>
        <w:t> 600</w:t>
      </w:r>
      <w:r>
        <w:rPr>
          <w:rFonts w:ascii="Arial" w:hAnsi="Arial" w:cs="Arial"/>
          <w:color w:val="000000"/>
          <w:sz w:val="22"/>
          <w:szCs w:val="22"/>
        </w:rPr>
        <w:t xml:space="preserve"> Kč.</w:t>
      </w:r>
    </w:p>
    <w:p w:rsidR="00C0233A" w:rsidRDefault="00C0233A">
      <w:pPr>
        <w:pStyle w:val="Normlnweb"/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 xml:space="preserve">Poplatek se v případě, že poplatková povinnost vznikla z důvodu přihlášení fyzické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osoby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ve městě, snižuje o jednu dvanáctinu za každý kalendářní měsíc, na jehož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0"/>
      </w:r>
    </w:p>
    <w:p w:rsidR="00C0233A" w:rsidRDefault="00C0233A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 není tato fyzická osoba přihlášena ve městě, nebo</w:t>
      </w:r>
    </w:p>
    <w:p w:rsidR="00C0233A" w:rsidRDefault="00C0233A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 je tato fyzická osoba od poplatku osvobozena.</w:t>
      </w:r>
    </w:p>
    <w:p w:rsidR="00C0233A" w:rsidRDefault="00C0233A">
      <w:pPr>
        <w:pStyle w:val="Normlnweb"/>
        <w:spacing w:after="0"/>
        <w:ind w:left="600" w:hanging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600" w:hanging="60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lastRenderedPageBreak/>
        <w:t>(3)</w:t>
      </w:r>
      <w:r>
        <w:rPr>
          <w:rFonts w:ascii="Arial" w:hAnsi="Arial" w:cs="Arial"/>
          <w:color w:val="000000"/>
          <w:sz w:val="22"/>
          <w:szCs w:val="22"/>
        </w:rPr>
        <w:tab/>
        <w:t>Poplatek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se v případě, že poplatková povinnost vznikla z důvodu vlastnictví jednotlivé nemovité věci zahrnující byt, rodinný dům nebo stavbu pro rod</w:t>
      </w:r>
      <w:r>
        <w:rPr>
          <w:rFonts w:ascii="Arial" w:hAnsi="Arial" w:cs="Arial"/>
          <w:color w:val="000000"/>
          <w:sz w:val="22"/>
          <w:szCs w:val="22"/>
        </w:rPr>
        <w:t xml:space="preserve">innou rekreaci umístěné na území města, snižuje o jednu dvanáctinu za každý kalendářní měsíc, na jehož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1"/>
      </w:r>
    </w:p>
    <w:p w:rsidR="00C0233A" w:rsidRDefault="00C0233A">
      <w:pPr>
        <w:pStyle w:val="Normlnweb"/>
        <w:spacing w:after="0"/>
        <w:ind w:left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je v této nemovité věci přihlášena alespoň jedna fyzická osoba,</w:t>
      </w:r>
    </w:p>
    <w:p w:rsidR="00C0233A" w:rsidRDefault="00C0233A">
      <w:pPr>
        <w:pStyle w:val="Normlnweb"/>
        <w:spacing w:after="0"/>
        <w:ind w:left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poplatník nevlastní tuto nemovitou věc, nebo</w:t>
      </w:r>
    </w:p>
    <w:p w:rsidR="00C0233A" w:rsidRDefault="00C0233A">
      <w:pPr>
        <w:pStyle w:val="Normlnweb"/>
        <w:spacing w:after="0"/>
        <w:ind w:left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je poplatník od poplatku osvoboz</w:t>
      </w:r>
      <w:r>
        <w:rPr>
          <w:rFonts w:ascii="Arial" w:hAnsi="Arial" w:cs="Arial"/>
          <w:color w:val="000000"/>
          <w:sz w:val="22"/>
          <w:szCs w:val="22"/>
        </w:rPr>
        <w:t>en.</w:t>
      </w:r>
    </w:p>
    <w:p w:rsidR="00C0233A" w:rsidRDefault="00757A44">
      <w:pPr>
        <w:pStyle w:val="Normlnweb"/>
        <w:spacing w:after="0"/>
        <w:ind w:left="600" w:hanging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</w:t>
      </w:r>
    </w:p>
    <w:p w:rsidR="00C0233A" w:rsidRDefault="00757A44">
      <w:pPr>
        <w:pStyle w:val="Normlnweb"/>
        <w:spacing w:after="0"/>
        <w:ind w:left="600" w:hanging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6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Splatnost poplatku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Poplatek je splatný jednorázově, a to nejpozději do 30.</w:t>
      </w:r>
      <w:r w:rsidR="00FA2DC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sz w:val="22"/>
          <w:szCs w:val="22"/>
        </w:rPr>
        <w:t xml:space="preserve">příslušného kalendářního roku. </w:t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>Vznikne-li poplatková povinnost po datu splatnosti uvedeném v odstavci 1, je poplatek splatný nejpozději do 15. dne měsí</w:t>
      </w:r>
      <w:r>
        <w:rPr>
          <w:rFonts w:ascii="Arial" w:hAnsi="Arial" w:cs="Arial"/>
          <w:color w:val="000000"/>
          <w:sz w:val="22"/>
          <w:szCs w:val="22"/>
        </w:rPr>
        <w:t>ce, který následuje po měsíci, ve kterém poplatková povinnost vznikla. </w:t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(3)</w:t>
      </w:r>
      <w:r>
        <w:rPr>
          <w:rFonts w:ascii="Arial" w:hAnsi="Arial" w:cs="Arial"/>
          <w:color w:val="000000"/>
          <w:sz w:val="22"/>
          <w:szCs w:val="22"/>
        </w:rPr>
        <w:tab/>
        <w:t>Lhůta splatnosti neskončí poplatníkovi dříve než lhůta pro podání ohlášení podle čl. 4 odst. 1 této vyhlášky.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7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Osvobození 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Od poplatku je osvobozena osoba, které poplatková povinnost vznikla z důvodu přihlášení ve městě a která je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2"/>
      </w:r>
    </w:p>
    <w:p w:rsidR="00C0233A" w:rsidRDefault="00C0233A">
      <w:pPr>
        <w:pStyle w:val="Normlnweb"/>
        <w:spacing w:after="0"/>
        <w:ind w:left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poplatníkem poplatku za odkládání komunálního odpadu z nemovité věci v jiné obci a má v této jiné obci bydliště, </w:t>
      </w:r>
    </w:p>
    <w:p w:rsidR="00C0233A" w:rsidRDefault="00C0233A">
      <w:pPr>
        <w:pStyle w:val="Normlnweb"/>
        <w:spacing w:after="0"/>
        <w:ind w:left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umístěna do dětského domova pr</w:t>
      </w:r>
      <w:r>
        <w:rPr>
          <w:rFonts w:ascii="Arial" w:hAnsi="Arial" w:cs="Arial"/>
          <w:color w:val="000000"/>
          <w:sz w:val="22"/>
          <w:szCs w:val="22"/>
        </w:rPr>
        <w:t>o děti do 3 let věku, školského zařízení pro výkon ústavní nebo ochranné výchovy nebo školského zařízení pro preventivně výchovnou péči na základě rozhodnutí soudu nebo smlouvy,</w:t>
      </w:r>
    </w:p>
    <w:p w:rsidR="00C0233A" w:rsidRDefault="00C0233A">
      <w:pPr>
        <w:pStyle w:val="Normlnweb"/>
        <w:spacing w:after="0"/>
        <w:ind w:left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umístěna do zařízení pro děti vyžadující okamžitou pomoc na základě rozhodnutí soudu, na žádost obecního úřadu obce s rozšířenou působností, zákonného zástupce dítěte nebo nezletilého,</w:t>
      </w:r>
    </w:p>
    <w:p w:rsidR="00C0233A" w:rsidRDefault="00C0233A">
      <w:pPr>
        <w:pStyle w:val="Normlnweb"/>
        <w:spacing w:after="0"/>
        <w:ind w:left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umístěna v domově pro osoby se zdravotním postižením, domově pro seni</w:t>
      </w:r>
      <w:r>
        <w:rPr>
          <w:rFonts w:ascii="Arial" w:hAnsi="Arial" w:cs="Arial"/>
          <w:color w:val="000000"/>
          <w:sz w:val="22"/>
          <w:szCs w:val="22"/>
        </w:rPr>
        <w:t>ory, domově se zvláštním režimem nebo v chráněném bydlení, nebo</w:t>
      </w:r>
    </w:p>
    <w:p w:rsidR="00C0233A" w:rsidRDefault="00C0233A">
      <w:pPr>
        <w:pStyle w:val="Normlnweb"/>
        <w:spacing w:after="0"/>
        <w:ind w:left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základě zákona omezena na osobní svobodě s výjimkou osoby vykonávající trest domácího vězení.</w:t>
      </w:r>
    </w:p>
    <w:p w:rsidR="00C0233A" w:rsidRDefault="00C0233A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 xml:space="preserve">Od poplatku se osvobozuje osoba, které poplatková povinnost vznikla z důvodů přihlášení </w:t>
      </w:r>
      <w:r>
        <w:rPr>
          <w:rFonts w:ascii="Arial" w:hAnsi="Arial" w:cs="Arial"/>
          <w:color w:val="000000"/>
          <w:sz w:val="22"/>
          <w:szCs w:val="22"/>
        </w:rPr>
        <w:t>ve městě a která</w:t>
      </w:r>
    </w:p>
    <w:p w:rsidR="00C0233A" w:rsidRDefault="00C0233A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 mladší jednoho roku věku,</w:t>
      </w: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C0233A" w:rsidRDefault="00757A44">
      <w:pPr>
        <w:pStyle w:val="Normlnweb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pobývá alespoň 90 po sobě jdoucích dnů v pobytovém zařízení sociální a zdravotní</w:t>
      </w: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péče neuvedeném v odstavci 1,</w:t>
      </w: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C0233A" w:rsidRDefault="00757A44">
      <w:pPr>
        <w:pStyle w:val="Normlnweb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pobývá alespoň 180 po sobě jdoucích dnů mimo území České republiky. </w:t>
      </w:r>
    </w:p>
    <w:p w:rsidR="00C0233A" w:rsidRDefault="00C0233A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3"/>
      </w:r>
    </w:p>
    <w:p w:rsidR="00C0233A" w:rsidRDefault="00C0233A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8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Navýšení poplatku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Nebudou-li poplatky zaplaceny poplatníkem včas nebo ve správn</w:t>
      </w:r>
      <w:r>
        <w:rPr>
          <w:rFonts w:ascii="Arial" w:hAnsi="Arial" w:cs="Arial"/>
          <w:color w:val="000000"/>
          <w:sz w:val="22"/>
          <w:szCs w:val="22"/>
        </w:rPr>
        <w:t>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4"/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>Včas nezaplacené poplatky nebo část těchto poplatků může správce poplatku zvýšit až na trojnásobek; toto zvýšení je příslušenstvím poplatku sledujícím j</w:t>
      </w:r>
      <w:r>
        <w:rPr>
          <w:rFonts w:ascii="Arial" w:hAnsi="Arial" w:cs="Arial"/>
          <w:color w:val="000000"/>
          <w:sz w:val="22"/>
          <w:szCs w:val="22"/>
        </w:rPr>
        <w:t>eho osud.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5"/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9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Odpovědnost za zaplacení poplatku</w:t>
      </w:r>
      <w:r>
        <w:rPr>
          <w:rStyle w:val="Znakapoznpodarou"/>
          <w:rFonts w:ascii="Arial" w:hAnsi="Arial" w:cs="Arial"/>
          <w:b/>
          <w:bCs/>
          <w:color w:val="000000"/>
          <w:sz w:val="22"/>
          <w:szCs w:val="22"/>
          <w:vertAlign w:val="superscript"/>
        </w:rPr>
        <w:footnoteReference w:id="16"/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ind w:left="708" w:hanging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Vznikne-li nedoplatek na poplatku poplatník</w:t>
      </w:r>
      <w:r w:rsidR="00FA2DC1">
        <w:rPr>
          <w:rFonts w:ascii="Arial" w:hAnsi="Arial" w:cs="Arial"/>
          <w:color w:val="000000"/>
          <w:sz w:val="22"/>
          <w:szCs w:val="22"/>
        </w:rPr>
        <w:t>ovi, který je ke dni splatnosti nezletilý a nenabyl</w:t>
      </w:r>
      <w:r>
        <w:rPr>
          <w:rFonts w:ascii="Arial" w:hAnsi="Arial" w:cs="Arial"/>
          <w:color w:val="000000"/>
          <w:sz w:val="22"/>
          <w:szCs w:val="22"/>
        </w:rPr>
        <w:t xml:space="preserve"> plné svéprávnosti nebo který je ke dni sp</w:t>
      </w:r>
      <w:r>
        <w:rPr>
          <w:rFonts w:ascii="Arial" w:hAnsi="Arial" w:cs="Arial"/>
          <w:color w:val="000000"/>
          <w:sz w:val="22"/>
          <w:szCs w:val="22"/>
        </w:rPr>
        <w:t>latnosti omezen ve</w:t>
      </w:r>
      <w:r w:rsidR="00FA2DC1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svéprávnosti a</w:t>
      </w:r>
      <w:r w:rsidR="00FA2DC1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C0233A" w:rsidRDefault="00C0233A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>V případě podle odstavce 1 vyměří správce poplatku poplatek zákonnému zástupci nebo opatrovníkovi poplatníka.</w:t>
      </w:r>
    </w:p>
    <w:p w:rsidR="00C0233A" w:rsidRDefault="00C0233A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(3)</w:t>
      </w:r>
      <w:r>
        <w:rPr>
          <w:rFonts w:ascii="Arial" w:hAnsi="Arial" w:cs="Arial"/>
          <w:color w:val="000000"/>
          <w:sz w:val="22"/>
          <w:szCs w:val="22"/>
        </w:rPr>
        <w:tab/>
        <w:t>Je-li zákonných zástupců nebo opatrovníků více, jsou povinni plnit poplatkovou povinnost společně a nerozdílně.</w:t>
      </w: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C0233A">
      <w:pPr>
        <w:pStyle w:val="Normlnweb"/>
        <w:spacing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10</w:t>
      </w:r>
    </w:p>
    <w:p w:rsidR="00C0233A" w:rsidRDefault="00757A44">
      <w:pPr>
        <w:pStyle w:val="Normlnweb"/>
        <w:spacing w:after="0"/>
        <w:ind w:left="705" w:hanging="70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Prominutí poplatku na žádost poplatníka</w:t>
      </w:r>
    </w:p>
    <w:p w:rsidR="00C0233A" w:rsidRDefault="00C0233A">
      <w:pPr>
        <w:pStyle w:val="Normlnweb"/>
        <w:spacing w:after="0"/>
        <w:ind w:left="705" w:hanging="70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</w:t>
      </w:r>
      <w:r>
        <w:rPr>
          <w:rFonts w:ascii="Arial" w:hAnsi="Arial" w:cs="Arial"/>
          <w:bCs/>
          <w:color w:val="000000"/>
          <w:sz w:val="22"/>
          <w:szCs w:val="22"/>
        </w:rPr>
        <w:t>Správce poplatku může na žádost poplatníka z důvodu odstranění tvrdosti právního předpisu zcela nebo částečně prominout poplatek nebo jeho příslušenství, lze-li to s přihlédnutím k okolnostem daného příp</w:t>
      </w:r>
      <w:r>
        <w:rPr>
          <w:rFonts w:ascii="Arial" w:hAnsi="Arial" w:cs="Arial"/>
          <w:bCs/>
          <w:color w:val="000000"/>
          <w:sz w:val="22"/>
          <w:szCs w:val="22"/>
        </w:rPr>
        <w:t>adu ospravedlnit.</w:t>
      </w:r>
      <w:r>
        <w:rPr>
          <w:rStyle w:val="Znakapoznpodarou"/>
          <w:rFonts w:ascii="Arial" w:hAnsi="Arial" w:cs="Arial"/>
          <w:bCs/>
          <w:color w:val="000000"/>
          <w:sz w:val="22"/>
          <w:szCs w:val="22"/>
          <w:vertAlign w:val="superscript"/>
        </w:rPr>
        <w:footnoteReference w:id="17"/>
      </w:r>
    </w:p>
    <w:p w:rsidR="00C0233A" w:rsidRDefault="00C0233A">
      <w:pPr>
        <w:pStyle w:val="Normlnweb"/>
        <w:spacing w:after="0"/>
        <w:ind w:left="705" w:hanging="70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0233A" w:rsidRDefault="00C0233A">
      <w:pPr>
        <w:pStyle w:val="Normlnweb"/>
        <w:spacing w:after="0"/>
        <w:ind w:left="705" w:hanging="70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11</w:t>
      </w:r>
    </w:p>
    <w:p w:rsidR="00C0233A" w:rsidRDefault="00757A44">
      <w:pPr>
        <w:pStyle w:val="Normlnweb"/>
        <w:spacing w:after="0"/>
        <w:ind w:left="705" w:hanging="70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Společná ustanovení</w:t>
      </w:r>
    </w:p>
    <w:p w:rsidR="00C0233A" w:rsidRDefault="00757A44">
      <w:pPr>
        <w:pStyle w:val="Normlnweb"/>
        <w:spacing w:after="0"/>
        <w:ind w:left="705" w:hanging="70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Ustanovení o nemovité věci se použijí obdobně i na jednotku, která je vymezena podle</w:t>
      </w:r>
      <w:r w:rsidR="001B50A4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zákona o vlastnictví bytů, spolu s touto jednotkou spojeným podílem na </w:t>
      </w:r>
      <w:r>
        <w:rPr>
          <w:rFonts w:ascii="Arial" w:hAnsi="Arial" w:cs="Arial"/>
          <w:color w:val="000000"/>
          <w:sz w:val="22"/>
          <w:szCs w:val="22"/>
        </w:rPr>
        <w:lastRenderedPageBreak/>
        <w:t>společných částech domu, a pokud je s ní spoje</w:t>
      </w:r>
      <w:r>
        <w:rPr>
          <w:rFonts w:ascii="Arial" w:hAnsi="Arial" w:cs="Arial"/>
          <w:color w:val="000000"/>
          <w:sz w:val="22"/>
          <w:szCs w:val="22"/>
        </w:rPr>
        <w:t>no vlastnictví k pozemku, tak i spolu s podílem na</w:t>
      </w:r>
      <w:r w:rsidR="00FA2DC1">
        <w:rPr>
          <w:rFonts w:ascii="Arial" w:hAnsi="Arial" w:cs="Arial"/>
          <w:color w:val="000000"/>
          <w:sz w:val="22"/>
          <w:szCs w:val="22"/>
        </w:rPr>
        <w:t> to</w:t>
      </w:r>
      <w:r>
        <w:rPr>
          <w:rFonts w:ascii="Arial" w:hAnsi="Arial" w:cs="Arial"/>
          <w:color w:val="000000"/>
          <w:sz w:val="22"/>
          <w:szCs w:val="22"/>
        </w:rPr>
        <w:t>mto pozemku.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8"/>
      </w:r>
    </w:p>
    <w:p w:rsidR="00C0233A" w:rsidRDefault="00C0233A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>Na svěřen</w:t>
      </w:r>
      <w:r w:rsidR="00FA2DC1">
        <w:rPr>
          <w:rFonts w:ascii="Arial" w:hAnsi="Arial" w:cs="Arial"/>
          <w:color w:val="000000"/>
          <w:sz w:val="22"/>
          <w:szCs w:val="22"/>
        </w:rPr>
        <w:t>ec</w:t>
      </w:r>
      <w:r>
        <w:rPr>
          <w:rFonts w:ascii="Arial" w:hAnsi="Arial" w:cs="Arial"/>
          <w:color w:val="000000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</w:t>
      </w:r>
      <w:r>
        <w:rPr>
          <w:rFonts w:ascii="Arial" w:hAnsi="Arial" w:cs="Arial"/>
          <w:color w:val="000000"/>
          <w:sz w:val="22"/>
          <w:szCs w:val="22"/>
        </w:rPr>
        <w:t>to nemovité věci.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9"/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C0233A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12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Přechodná ustanovení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 w:rsidP="001B50A4">
      <w:pPr>
        <w:pStyle w:val="Normlnweb"/>
        <w:spacing w:after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Poplatkové povinnosti vzniklé před nabytím účinnosti </w:t>
      </w:r>
      <w:r>
        <w:rPr>
          <w:rFonts w:ascii="Arial" w:hAnsi="Arial" w:cs="Arial"/>
          <w:color w:val="000000"/>
          <w:sz w:val="22"/>
          <w:szCs w:val="22"/>
        </w:rPr>
        <w:t xml:space="preserve">této vyhlášky se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posuzují </w:t>
      </w:r>
      <w:r w:rsidR="001B50A4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podle</w:t>
      </w:r>
      <w:proofErr w:type="gramEnd"/>
      <w:r w:rsidR="001B50A4">
        <w:rPr>
          <w:rFonts w:ascii="Segoe UI Symbol" w:hAnsi="Segoe UI Symbol" w:cs="Arial"/>
          <w:color w:val="000000"/>
          <w:sz w:val="22"/>
          <w:szCs w:val="22"/>
        </w:rPr>
        <w:t> do</w:t>
      </w:r>
      <w:r>
        <w:rPr>
          <w:rFonts w:ascii="Arial" w:hAnsi="Arial" w:cs="Arial"/>
          <w:color w:val="000000"/>
          <w:sz w:val="22"/>
          <w:szCs w:val="22"/>
        </w:rPr>
        <w:t>savadních právních předpisů.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13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Zrušovací ustanovení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>
        <w:rPr>
          <w:rFonts w:ascii="Arial" w:hAnsi="Arial" w:cs="Arial"/>
          <w:color w:val="000000"/>
          <w:sz w:val="22"/>
          <w:szCs w:val="22"/>
        </w:rPr>
        <w:t xml:space="preserve">Zrušuje se obecně závazná vyhláška č. 8/2021 o místním poplatku za obecní systém    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odpadového hospodářství ze dne 15. 11. 2021.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14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Tato vyhláška nabývá účinnosti dne 01. 01. 2023.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1B50A4" w:rsidRDefault="001B50A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C0233A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C0233A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……………………………..</w:t>
      </w:r>
      <w:r>
        <w:rPr>
          <w:rFonts w:ascii="Arial" w:hAnsi="Arial" w:cs="Arial"/>
          <w:i/>
          <w:iCs/>
          <w:color w:val="000000"/>
          <w:sz w:val="22"/>
          <w:szCs w:val="22"/>
        </w:rPr>
        <w:t>..                                                …………………………….</w:t>
      </w:r>
    </w:p>
    <w:p w:rsidR="00C0233A" w:rsidRDefault="00757A44">
      <w:pPr>
        <w:pStyle w:val="Normlnweb"/>
        <w:tabs>
          <w:tab w:val="left" w:pos="1080"/>
          <w:tab w:val="left" w:pos="6661"/>
        </w:tabs>
        <w:spacing w:after="0" w:line="273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JUDr. Václav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Dobrozemský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v. r.                                        Mgr. Stanislav Kopecký v. r.</w:t>
      </w:r>
    </w:p>
    <w:p w:rsidR="00C0233A" w:rsidRDefault="00757A44">
      <w:pPr>
        <w:pStyle w:val="Normlnweb"/>
        <w:tabs>
          <w:tab w:val="left" w:pos="1080"/>
          <w:tab w:val="left" w:pos="7021"/>
        </w:tabs>
        <w:spacing w:after="0" w:line="273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 místostarosta</w:t>
      </w:r>
      <w:r>
        <w:rPr>
          <w:rFonts w:ascii="Arial" w:hAnsi="Arial" w:cs="Arial"/>
          <w:color w:val="000000"/>
          <w:sz w:val="22"/>
          <w:szCs w:val="22"/>
        </w:rPr>
        <w:tab/>
        <w:t>    starosta</w:t>
      </w:r>
    </w:p>
    <w:sectPr w:rsidR="00C0233A" w:rsidSect="00C94932">
      <w:footerReference w:type="default" r:id="rId8"/>
      <w:headerReference w:type="first" r:id="rId9"/>
      <w:pgSz w:w="11906" w:h="16838"/>
      <w:pgMar w:top="1417" w:right="1417" w:bottom="1417" w:left="1417" w:header="51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A44" w:rsidRDefault="00757A44">
      <w:pPr>
        <w:spacing w:after="0" w:line="240" w:lineRule="auto"/>
      </w:pPr>
      <w:r>
        <w:separator/>
      </w:r>
    </w:p>
  </w:endnote>
  <w:endnote w:type="continuationSeparator" w:id="0">
    <w:p w:rsidR="00757A44" w:rsidRDefault="0075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nlyofficedefaultfont">
    <w:altName w:val="Wingdings 3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2935532"/>
      <w:docPartObj>
        <w:docPartGallery w:val="Page Numbers (Bottom of Page)"/>
        <w:docPartUnique/>
      </w:docPartObj>
    </w:sdtPr>
    <w:sdtEndPr/>
    <w:sdtContent>
      <w:p w:rsidR="00C0233A" w:rsidRDefault="00757A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932">
          <w:rPr>
            <w:noProof/>
          </w:rPr>
          <w:t>4</w:t>
        </w:r>
        <w:r>
          <w:fldChar w:fldCharType="end"/>
        </w:r>
      </w:p>
    </w:sdtContent>
  </w:sdt>
  <w:p w:rsidR="00C0233A" w:rsidRDefault="00C023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A44" w:rsidRDefault="00757A44">
      <w:pPr>
        <w:spacing w:after="0" w:line="240" w:lineRule="auto"/>
      </w:pPr>
      <w:r>
        <w:separator/>
      </w:r>
    </w:p>
  </w:footnote>
  <w:footnote w:type="continuationSeparator" w:id="0">
    <w:p w:rsidR="00757A44" w:rsidRDefault="00757A44">
      <w:pPr>
        <w:spacing w:after="0" w:line="240" w:lineRule="auto"/>
      </w:pPr>
      <w:r>
        <w:continuationSeparator/>
      </w:r>
    </w:p>
  </w:footnote>
  <w:footnote w:id="1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1 </w:t>
      </w:r>
      <w:r>
        <w:rPr>
          <w:color w:val="000000"/>
          <w:sz w:val="20"/>
          <w:szCs w:val="20"/>
        </w:rPr>
        <w:t>§ 15 odst. 1 zákona o místních poplatcích</w:t>
      </w:r>
    </w:p>
  </w:footnote>
  <w:footnote w:id="2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 xml:space="preserve">2 </w:t>
      </w:r>
      <w:r>
        <w:rPr>
          <w:color w:val="000000"/>
          <w:sz w:val="20"/>
          <w:szCs w:val="20"/>
        </w:rPr>
        <w:t>§ 10e zákona o místních poplatcích</w:t>
      </w:r>
    </w:p>
  </w:footnote>
  <w:footnote w:id="3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vertAlign w:val="superscript"/>
        </w:rPr>
        <w:t>3 </w:t>
      </w:r>
      <w:r>
        <w:rPr>
          <w:color w:val="000000"/>
          <w:sz w:val="20"/>
          <w:szCs w:val="20"/>
        </w:rPr>
        <w:t>Za přihlášení fyzické osoby se podle § 16c zákona o místních poplatcích považuje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a) přihlášení k trvalému pobytu podle zákona o evidenci obyvatel, nebo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b) ohlášení místa pobytu podle zákona o pobytu cizinců na území České republiky, zákona o azylu nebo zák</w:t>
      </w:r>
      <w:r>
        <w:rPr>
          <w:color w:val="000000"/>
          <w:sz w:val="20"/>
          <w:szCs w:val="20"/>
        </w:rPr>
        <w:t>ona o dočasné ochraně cizinců, jde-li o cizince,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proofErr w:type="gramStart"/>
      <w:r>
        <w:rPr>
          <w:color w:val="000000"/>
          <w:sz w:val="20"/>
          <w:szCs w:val="20"/>
        </w:rPr>
        <w:t>1.kterému</w:t>
      </w:r>
      <w:proofErr w:type="gramEnd"/>
      <w:r>
        <w:rPr>
          <w:color w:val="000000"/>
          <w:sz w:val="20"/>
          <w:szCs w:val="20"/>
        </w:rPr>
        <w:t xml:space="preserve"> byl povolen trvalý pobyt,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2. který na území České republiky pobývá přechodně po dobu delší než 3 měsíce,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3. který je žadatelem o udělení mezinárodní ochrany nebo osobou strpěnou na území podle záko</w:t>
      </w:r>
      <w:r>
        <w:rPr>
          <w:color w:val="000000"/>
          <w:sz w:val="20"/>
          <w:szCs w:val="20"/>
        </w:rPr>
        <w:t>na o azylu anebo žadatelem o poskytnutí dočasné ochrany podle zákona o dočasné ochraně cizinců, nebo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4. kterému byla udělena mezinárodní ochrana nebo jde o cizince požívajícího dočasné ochrany cizinců.</w:t>
      </w:r>
    </w:p>
  </w:footnote>
  <w:footnote w:id="4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4</w:t>
      </w:r>
      <w:r>
        <w:rPr>
          <w:color w:val="000000"/>
          <w:sz w:val="20"/>
          <w:szCs w:val="20"/>
        </w:rPr>
        <w:t>§ 10p zákona o místních poplatcích</w:t>
      </w:r>
    </w:p>
  </w:footnote>
  <w:footnote w:id="5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5</w:t>
      </w:r>
      <w:r>
        <w:rPr>
          <w:color w:val="000000"/>
          <w:sz w:val="20"/>
          <w:szCs w:val="20"/>
        </w:rPr>
        <w:t>§ 10o odst. 1 zákona o místních poplatcích</w:t>
      </w:r>
    </w:p>
  </w:footnote>
  <w:footnote w:id="6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6 </w:t>
      </w:r>
      <w:r>
        <w:rPr>
          <w:color w:val="000000"/>
          <w:sz w:val="20"/>
          <w:szCs w:val="20"/>
        </w:rPr>
        <w:t>§ 14a odst. 2 zákona o místních poplatcích</w:t>
      </w:r>
    </w:p>
  </w:footnote>
  <w:footnote w:id="7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7</w:t>
      </w:r>
      <w:r>
        <w:rPr>
          <w:color w:val="000000"/>
          <w:sz w:val="20"/>
          <w:szCs w:val="20"/>
        </w:rPr>
        <w:t> § 14a odst. 3 zákona o místních poplatcích</w:t>
      </w:r>
    </w:p>
  </w:footnote>
  <w:footnote w:id="8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 xml:space="preserve">8 </w:t>
      </w:r>
      <w:r>
        <w:rPr>
          <w:color w:val="000000"/>
          <w:sz w:val="20"/>
          <w:szCs w:val="20"/>
        </w:rPr>
        <w:t>§ 14a odst. 4 zákona o místních poplatcích</w:t>
      </w:r>
    </w:p>
  </w:footnote>
  <w:footnote w:id="9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 xml:space="preserve">9 </w:t>
      </w:r>
      <w:r>
        <w:rPr>
          <w:color w:val="000000"/>
          <w:sz w:val="20"/>
          <w:szCs w:val="20"/>
        </w:rPr>
        <w:t xml:space="preserve">§ 14a odst. 5 zákona o místních poplatcích </w:t>
      </w:r>
    </w:p>
  </w:footnote>
  <w:footnote w:id="10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10</w:t>
      </w:r>
      <w:r>
        <w:rPr>
          <w:color w:val="000000"/>
          <w:sz w:val="20"/>
          <w:szCs w:val="20"/>
        </w:rPr>
        <w:t>§ 10h odst. 2 ve spojení s § 1</w:t>
      </w:r>
      <w:r>
        <w:rPr>
          <w:color w:val="000000"/>
          <w:sz w:val="20"/>
          <w:szCs w:val="20"/>
        </w:rPr>
        <w:t>0o odst. 2 zákona o místních poplatcích</w:t>
      </w:r>
      <w:r>
        <w:rPr>
          <w:color w:val="000000"/>
          <w:sz w:val="20"/>
          <w:szCs w:val="20"/>
          <w:vertAlign w:val="superscript"/>
        </w:rPr>
        <w:t> </w:t>
      </w:r>
    </w:p>
  </w:footnote>
  <w:footnote w:id="11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 11</w:t>
      </w:r>
      <w:r>
        <w:rPr>
          <w:color w:val="000000"/>
          <w:sz w:val="20"/>
          <w:szCs w:val="20"/>
        </w:rPr>
        <w:t>§ 10h odst. 3 ve spojení s § 10o odst. 2 zákona o místních poplatcích</w:t>
      </w:r>
    </w:p>
  </w:footnote>
  <w:footnote w:id="12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 xml:space="preserve"> 12</w:t>
      </w:r>
      <w:r>
        <w:rPr>
          <w:color w:val="000000"/>
          <w:sz w:val="20"/>
          <w:szCs w:val="20"/>
        </w:rPr>
        <w:t>§ 10g zákona o místních poplatcích </w:t>
      </w:r>
    </w:p>
  </w:footnote>
  <w:footnote w:id="13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13</w:t>
      </w:r>
      <w:r>
        <w:rPr>
          <w:color w:val="000000"/>
          <w:sz w:val="20"/>
          <w:szCs w:val="20"/>
        </w:rPr>
        <w:t>§ 14a odst. 6 zákona o místních poplatcích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</w:footnote>
  <w:footnote w:id="14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14</w:t>
      </w:r>
      <w:r>
        <w:rPr>
          <w:color w:val="000000"/>
          <w:sz w:val="20"/>
          <w:szCs w:val="20"/>
        </w:rPr>
        <w:t>§ 11 odst. 1 zákona o místních poplatcích</w:t>
      </w:r>
    </w:p>
  </w:footnote>
  <w:footnote w:id="15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15</w:t>
      </w:r>
      <w:r>
        <w:rPr>
          <w:color w:val="000000"/>
          <w:sz w:val="20"/>
          <w:szCs w:val="20"/>
        </w:rPr>
        <w:t xml:space="preserve">§ 11 odst. </w:t>
      </w:r>
      <w:r>
        <w:rPr>
          <w:color w:val="000000"/>
          <w:sz w:val="20"/>
          <w:szCs w:val="20"/>
        </w:rPr>
        <w:t>3 zákona o místních poplatcích</w:t>
      </w:r>
    </w:p>
  </w:footnote>
  <w:footnote w:id="16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16</w:t>
      </w:r>
      <w:r>
        <w:rPr>
          <w:color w:val="000000"/>
          <w:sz w:val="20"/>
          <w:szCs w:val="20"/>
        </w:rPr>
        <w:t>§ 12 zákona o místních poplatcích</w:t>
      </w:r>
      <w:r>
        <w:rPr>
          <w:color w:val="000000"/>
          <w:sz w:val="20"/>
          <w:szCs w:val="20"/>
          <w:vertAlign w:val="superscript"/>
        </w:rPr>
        <w:t> </w:t>
      </w:r>
    </w:p>
  </w:footnote>
  <w:footnote w:id="17">
    <w:p w:rsidR="00C0233A" w:rsidRDefault="00757A44">
      <w:pPr>
        <w:pStyle w:val="Normlnweb"/>
        <w:spacing w:after="0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r>
        <w:rPr>
          <w:color w:val="000000"/>
          <w:sz w:val="20"/>
          <w:szCs w:val="20"/>
        </w:rPr>
        <w:t>§ 16a zákona o místních poplatcích</w:t>
      </w:r>
    </w:p>
  </w:footnote>
  <w:footnote w:id="18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18</w:t>
      </w:r>
      <w:r>
        <w:rPr>
          <w:color w:val="000000"/>
          <w:sz w:val="20"/>
          <w:szCs w:val="20"/>
        </w:rPr>
        <w:t>§ 10q zákona o místních poplatcích</w:t>
      </w:r>
      <w:r>
        <w:rPr>
          <w:color w:val="000000"/>
          <w:sz w:val="20"/>
          <w:szCs w:val="20"/>
          <w:vertAlign w:val="superscript"/>
        </w:rPr>
        <w:t> </w:t>
      </w:r>
    </w:p>
  </w:footnote>
  <w:footnote w:id="19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19</w:t>
      </w:r>
      <w:r>
        <w:rPr>
          <w:color w:val="000000"/>
          <w:sz w:val="20"/>
          <w:szCs w:val="20"/>
        </w:rPr>
        <w:t>§ 10r zákona o místních poplatcích</w:t>
      </w:r>
      <w:r>
        <w:rPr>
          <w:color w:val="000000"/>
          <w:sz w:val="20"/>
          <w:szCs w:val="20"/>
          <w:vertAlign w:val="superscript"/>
        </w:rPr>
        <w:t> 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32" w:rsidRDefault="00C94932">
    <w:pPr>
      <w:pStyle w:val="Zhlav"/>
    </w:pPr>
    <w:r>
      <w:rPr>
        <w:noProof/>
        <w:lang w:eastAsia="cs-CZ"/>
      </w:rPr>
      <w:drawing>
        <wp:inline distT="0" distB="0" distL="0" distR="0" wp14:anchorId="12D00CA4" wp14:editId="52819AAA">
          <wp:extent cx="704634" cy="699715"/>
          <wp:effectExtent l="0" t="0" r="635" b="571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19726" cy="714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CEA"/>
    <w:multiLevelType w:val="hybridMultilevel"/>
    <w:tmpl w:val="4E9E5E12"/>
    <w:lvl w:ilvl="0" w:tplc="6742D0A8">
      <w:start w:val="1"/>
      <w:numFmt w:val="decimal"/>
      <w:lvlText w:val="%1)"/>
      <w:lvlJc w:val="right"/>
      <w:pPr>
        <w:ind w:left="709" w:hanging="360"/>
      </w:pPr>
    </w:lvl>
    <w:lvl w:ilvl="1" w:tplc="589CB912">
      <w:start w:val="1"/>
      <w:numFmt w:val="lowerLetter"/>
      <w:lvlText w:val="%2."/>
      <w:lvlJc w:val="left"/>
      <w:pPr>
        <w:ind w:left="1440" w:hanging="360"/>
      </w:pPr>
    </w:lvl>
    <w:lvl w:ilvl="2" w:tplc="5D8E8AB0">
      <w:start w:val="1"/>
      <w:numFmt w:val="lowerRoman"/>
      <w:lvlText w:val="%3."/>
      <w:lvlJc w:val="right"/>
      <w:pPr>
        <w:ind w:left="2160" w:hanging="180"/>
      </w:pPr>
    </w:lvl>
    <w:lvl w:ilvl="3" w:tplc="E554730C">
      <w:start w:val="1"/>
      <w:numFmt w:val="decimal"/>
      <w:lvlText w:val="%4."/>
      <w:lvlJc w:val="left"/>
      <w:pPr>
        <w:ind w:left="2880" w:hanging="360"/>
      </w:pPr>
    </w:lvl>
    <w:lvl w:ilvl="4" w:tplc="16480D8E">
      <w:start w:val="1"/>
      <w:numFmt w:val="lowerLetter"/>
      <w:lvlText w:val="%5."/>
      <w:lvlJc w:val="left"/>
      <w:pPr>
        <w:ind w:left="3600" w:hanging="360"/>
      </w:pPr>
    </w:lvl>
    <w:lvl w:ilvl="5" w:tplc="7494B5A4">
      <w:start w:val="1"/>
      <w:numFmt w:val="lowerRoman"/>
      <w:lvlText w:val="%6."/>
      <w:lvlJc w:val="right"/>
      <w:pPr>
        <w:ind w:left="4320" w:hanging="180"/>
      </w:pPr>
    </w:lvl>
    <w:lvl w:ilvl="6" w:tplc="EA6E2564">
      <w:start w:val="1"/>
      <w:numFmt w:val="decimal"/>
      <w:lvlText w:val="%7."/>
      <w:lvlJc w:val="left"/>
      <w:pPr>
        <w:ind w:left="5040" w:hanging="360"/>
      </w:pPr>
    </w:lvl>
    <w:lvl w:ilvl="7" w:tplc="F148D604">
      <w:start w:val="1"/>
      <w:numFmt w:val="lowerLetter"/>
      <w:lvlText w:val="%8."/>
      <w:lvlJc w:val="left"/>
      <w:pPr>
        <w:ind w:left="5760" w:hanging="360"/>
      </w:pPr>
    </w:lvl>
    <w:lvl w:ilvl="8" w:tplc="D51C10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C635C"/>
    <w:multiLevelType w:val="hybridMultilevel"/>
    <w:tmpl w:val="F802ED52"/>
    <w:lvl w:ilvl="0" w:tplc="2272F10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AE44E9F8">
      <w:start w:val="1"/>
      <w:numFmt w:val="lowerLetter"/>
      <w:lvlText w:val="%2."/>
      <w:lvlJc w:val="left"/>
      <w:pPr>
        <w:ind w:left="1680" w:hanging="360"/>
      </w:pPr>
    </w:lvl>
    <w:lvl w:ilvl="2" w:tplc="7D664848">
      <w:start w:val="1"/>
      <w:numFmt w:val="lowerRoman"/>
      <w:lvlText w:val="%3."/>
      <w:lvlJc w:val="right"/>
      <w:pPr>
        <w:ind w:left="2400" w:hanging="180"/>
      </w:pPr>
    </w:lvl>
    <w:lvl w:ilvl="3" w:tplc="6E3A21A4">
      <w:start w:val="1"/>
      <w:numFmt w:val="decimal"/>
      <w:lvlText w:val="%4."/>
      <w:lvlJc w:val="left"/>
      <w:pPr>
        <w:ind w:left="3120" w:hanging="360"/>
      </w:pPr>
    </w:lvl>
    <w:lvl w:ilvl="4" w:tplc="D4C29366">
      <w:start w:val="1"/>
      <w:numFmt w:val="lowerLetter"/>
      <w:lvlText w:val="%5."/>
      <w:lvlJc w:val="left"/>
      <w:pPr>
        <w:ind w:left="3840" w:hanging="360"/>
      </w:pPr>
    </w:lvl>
    <w:lvl w:ilvl="5" w:tplc="181C3A7A">
      <w:start w:val="1"/>
      <w:numFmt w:val="lowerRoman"/>
      <w:lvlText w:val="%6."/>
      <w:lvlJc w:val="right"/>
      <w:pPr>
        <w:ind w:left="4560" w:hanging="180"/>
      </w:pPr>
    </w:lvl>
    <w:lvl w:ilvl="6" w:tplc="C114B48E">
      <w:start w:val="1"/>
      <w:numFmt w:val="decimal"/>
      <w:lvlText w:val="%7."/>
      <w:lvlJc w:val="left"/>
      <w:pPr>
        <w:ind w:left="5280" w:hanging="360"/>
      </w:pPr>
    </w:lvl>
    <w:lvl w:ilvl="7" w:tplc="43E63242">
      <w:start w:val="1"/>
      <w:numFmt w:val="lowerLetter"/>
      <w:lvlText w:val="%8."/>
      <w:lvlJc w:val="left"/>
      <w:pPr>
        <w:ind w:left="6000" w:hanging="360"/>
      </w:pPr>
    </w:lvl>
    <w:lvl w:ilvl="8" w:tplc="5554EE10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2930FE5"/>
    <w:multiLevelType w:val="hybridMultilevel"/>
    <w:tmpl w:val="085CFE52"/>
    <w:lvl w:ilvl="0" w:tplc="52EA2C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7BCD020">
      <w:start w:val="1"/>
      <w:numFmt w:val="lowerLetter"/>
      <w:lvlText w:val="%2."/>
      <w:lvlJc w:val="left"/>
      <w:pPr>
        <w:ind w:left="1789" w:hanging="360"/>
      </w:pPr>
    </w:lvl>
    <w:lvl w:ilvl="2" w:tplc="07440A0A">
      <w:start w:val="1"/>
      <w:numFmt w:val="lowerRoman"/>
      <w:lvlText w:val="%3."/>
      <w:lvlJc w:val="right"/>
      <w:pPr>
        <w:ind w:left="2509" w:hanging="180"/>
      </w:pPr>
    </w:lvl>
    <w:lvl w:ilvl="3" w:tplc="986A8032">
      <w:start w:val="1"/>
      <w:numFmt w:val="decimal"/>
      <w:lvlText w:val="%4."/>
      <w:lvlJc w:val="left"/>
      <w:pPr>
        <w:ind w:left="3229" w:hanging="360"/>
      </w:pPr>
    </w:lvl>
    <w:lvl w:ilvl="4" w:tplc="8CA632A0">
      <w:start w:val="1"/>
      <w:numFmt w:val="lowerLetter"/>
      <w:lvlText w:val="%5."/>
      <w:lvlJc w:val="left"/>
      <w:pPr>
        <w:ind w:left="3949" w:hanging="360"/>
      </w:pPr>
    </w:lvl>
    <w:lvl w:ilvl="5" w:tplc="9C0E6A76">
      <w:start w:val="1"/>
      <w:numFmt w:val="lowerRoman"/>
      <w:lvlText w:val="%6."/>
      <w:lvlJc w:val="right"/>
      <w:pPr>
        <w:ind w:left="4669" w:hanging="180"/>
      </w:pPr>
    </w:lvl>
    <w:lvl w:ilvl="6" w:tplc="8D2EAC2E">
      <w:start w:val="1"/>
      <w:numFmt w:val="decimal"/>
      <w:lvlText w:val="%7."/>
      <w:lvlJc w:val="left"/>
      <w:pPr>
        <w:ind w:left="5389" w:hanging="360"/>
      </w:pPr>
    </w:lvl>
    <w:lvl w:ilvl="7" w:tplc="EF8EBAD2">
      <w:start w:val="1"/>
      <w:numFmt w:val="lowerLetter"/>
      <w:lvlText w:val="%8."/>
      <w:lvlJc w:val="left"/>
      <w:pPr>
        <w:ind w:left="6109" w:hanging="360"/>
      </w:pPr>
    </w:lvl>
    <w:lvl w:ilvl="8" w:tplc="7B6C588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965AA8"/>
    <w:multiLevelType w:val="hybridMultilevel"/>
    <w:tmpl w:val="644A059E"/>
    <w:lvl w:ilvl="0" w:tplc="006461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D1E4A90">
      <w:start w:val="1"/>
      <w:numFmt w:val="lowerLetter"/>
      <w:lvlText w:val="%2."/>
      <w:lvlJc w:val="left"/>
      <w:pPr>
        <w:ind w:left="1647" w:hanging="360"/>
      </w:pPr>
    </w:lvl>
    <w:lvl w:ilvl="2" w:tplc="FAD6AE20">
      <w:start w:val="1"/>
      <w:numFmt w:val="lowerRoman"/>
      <w:lvlText w:val="%3."/>
      <w:lvlJc w:val="right"/>
      <w:pPr>
        <w:ind w:left="2367" w:hanging="180"/>
      </w:pPr>
    </w:lvl>
    <w:lvl w:ilvl="3" w:tplc="A02437B2">
      <w:start w:val="1"/>
      <w:numFmt w:val="decimal"/>
      <w:lvlText w:val="%4."/>
      <w:lvlJc w:val="left"/>
      <w:pPr>
        <w:ind w:left="3087" w:hanging="360"/>
      </w:pPr>
    </w:lvl>
    <w:lvl w:ilvl="4" w:tplc="34CA8ECE">
      <w:start w:val="1"/>
      <w:numFmt w:val="lowerLetter"/>
      <w:lvlText w:val="%5."/>
      <w:lvlJc w:val="left"/>
      <w:pPr>
        <w:ind w:left="3807" w:hanging="360"/>
      </w:pPr>
    </w:lvl>
    <w:lvl w:ilvl="5" w:tplc="DF9882B4">
      <w:start w:val="1"/>
      <w:numFmt w:val="lowerRoman"/>
      <w:lvlText w:val="%6."/>
      <w:lvlJc w:val="right"/>
      <w:pPr>
        <w:ind w:left="4527" w:hanging="180"/>
      </w:pPr>
    </w:lvl>
    <w:lvl w:ilvl="6" w:tplc="C72EEBA2">
      <w:start w:val="1"/>
      <w:numFmt w:val="decimal"/>
      <w:lvlText w:val="%7."/>
      <w:lvlJc w:val="left"/>
      <w:pPr>
        <w:ind w:left="5247" w:hanging="360"/>
      </w:pPr>
    </w:lvl>
    <w:lvl w:ilvl="7" w:tplc="261C5C50">
      <w:start w:val="1"/>
      <w:numFmt w:val="lowerLetter"/>
      <w:lvlText w:val="%8."/>
      <w:lvlJc w:val="left"/>
      <w:pPr>
        <w:ind w:left="5967" w:hanging="360"/>
      </w:pPr>
    </w:lvl>
    <w:lvl w:ilvl="8" w:tplc="E1200C0A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613511"/>
    <w:multiLevelType w:val="hybridMultilevel"/>
    <w:tmpl w:val="F57C4CAA"/>
    <w:lvl w:ilvl="0" w:tplc="85B4A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D6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2C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EE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26D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94BA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2ADA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E470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22E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25F00"/>
    <w:multiLevelType w:val="hybridMultilevel"/>
    <w:tmpl w:val="BE96285A"/>
    <w:lvl w:ilvl="0" w:tplc="4C720422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E4A2CF60">
      <w:start w:val="1"/>
      <w:numFmt w:val="lowerLetter"/>
      <w:lvlText w:val="%2."/>
      <w:lvlJc w:val="left"/>
      <w:pPr>
        <w:ind w:left="1080" w:hanging="360"/>
      </w:pPr>
    </w:lvl>
    <w:lvl w:ilvl="2" w:tplc="5540CFA0">
      <w:start w:val="1"/>
      <w:numFmt w:val="lowerRoman"/>
      <w:lvlText w:val="%3."/>
      <w:lvlJc w:val="right"/>
      <w:pPr>
        <w:ind w:left="1800" w:hanging="180"/>
      </w:pPr>
    </w:lvl>
    <w:lvl w:ilvl="3" w:tplc="A85094E4">
      <w:start w:val="1"/>
      <w:numFmt w:val="decimal"/>
      <w:lvlText w:val="%4."/>
      <w:lvlJc w:val="left"/>
      <w:pPr>
        <w:ind w:left="2520" w:hanging="360"/>
      </w:pPr>
    </w:lvl>
    <w:lvl w:ilvl="4" w:tplc="67801742">
      <w:start w:val="1"/>
      <w:numFmt w:val="lowerLetter"/>
      <w:lvlText w:val="%5."/>
      <w:lvlJc w:val="left"/>
      <w:pPr>
        <w:ind w:left="3240" w:hanging="360"/>
      </w:pPr>
    </w:lvl>
    <w:lvl w:ilvl="5" w:tplc="B20CFC06">
      <w:start w:val="1"/>
      <w:numFmt w:val="lowerRoman"/>
      <w:lvlText w:val="%6."/>
      <w:lvlJc w:val="right"/>
      <w:pPr>
        <w:ind w:left="3960" w:hanging="180"/>
      </w:pPr>
    </w:lvl>
    <w:lvl w:ilvl="6" w:tplc="3A765032">
      <w:start w:val="1"/>
      <w:numFmt w:val="decimal"/>
      <w:lvlText w:val="%7."/>
      <w:lvlJc w:val="left"/>
      <w:pPr>
        <w:ind w:left="4680" w:hanging="360"/>
      </w:pPr>
    </w:lvl>
    <w:lvl w:ilvl="7" w:tplc="11900D02">
      <w:start w:val="1"/>
      <w:numFmt w:val="lowerLetter"/>
      <w:lvlText w:val="%8."/>
      <w:lvlJc w:val="left"/>
      <w:pPr>
        <w:ind w:left="5400" w:hanging="360"/>
      </w:pPr>
    </w:lvl>
    <w:lvl w:ilvl="8" w:tplc="75B2CFEE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DD52D6"/>
    <w:multiLevelType w:val="hybridMultilevel"/>
    <w:tmpl w:val="6890FBAC"/>
    <w:lvl w:ilvl="0" w:tplc="9CF27108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A4AABB3E">
      <w:start w:val="1"/>
      <w:numFmt w:val="lowerLetter"/>
      <w:lvlText w:val="%2."/>
      <w:lvlJc w:val="left"/>
      <w:pPr>
        <w:ind w:left="1755" w:hanging="360"/>
      </w:pPr>
    </w:lvl>
    <w:lvl w:ilvl="2" w:tplc="B54C9CC4">
      <w:start w:val="1"/>
      <w:numFmt w:val="lowerRoman"/>
      <w:lvlText w:val="%3."/>
      <w:lvlJc w:val="right"/>
      <w:pPr>
        <w:ind w:left="2475" w:hanging="180"/>
      </w:pPr>
    </w:lvl>
    <w:lvl w:ilvl="3" w:tplc="93D25F82">
      <w:start w:val="1"/>
      <w:numFmt w:val="decimal"/>
      <w:lvlText w:val="%4."/>
      <w:lvlJc w:val="left"/>
      <w:pPr>
        <w:ind w:left="3195" w:hanging="360"/>
      </w:pPr>
    </w:lvl>
    <w:lvl w:ilvl="4" w:tplc="8952B2D8">
      <w:start w:val="1"/>
      <w:numFmt w:val="lowerLetter"/>
      <w:lvlText w:val="%5."/>
      <w:lvlJc w:val="left"/>
      <w:pPr>
        <w:ind w:left="3915" w:hanging="360"/>
      </w:pPr>
    </w:lvl>
    <w:lvl w:ilvl="5" w:tplc="847ADC72">
      <w:start w:val="1"/>
      <w:numFmt w:val="lowerRoman"/>
      <w:lvlText w:val="%6."/>
      <w:lvlJc w:val="right"/>
      <w:pPr>
        <w:ind w:left="4635" w:hanging="180"/>
      </w:pPr>
    </w:lvl>
    <w:lvl w:ilvl="6" w:tplc="B5D65888">
      <w:start w:val="1"/>
      <w:numFmt w:val="decimal"/>
      <w:lvlText w:val="%7."/>
      <w:lvlJc w:val="left"/>
      <w:pPr>
        <w:ind w:left="5355" w:hanging="360"/>
      </w:pPr>
    </w:lvl>
    <w:lvl w:ilvl="7" w:tplc="BBC4CE54">
      <w:start w:val="1"/>
      <w:numFmt w:val="lowerLetter"/>
      <w:lvlText w:val="%8."/>
      <w:lvlJc w:val="left"/>
      <w:pPr>
        <w:ind w:left="6075" w:hanging="360"/>
      </w:pPr>
    </w:lvl>
    <w:lvl w:ilvl="8" w:tplc="070CCAAC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34415B39"/>
    <w:multiLevelType w:val="hybridMultilevel"/>
    <w:tmpl w:val="E578DE70"/>
    <w:lvl w:ilvl="0" w:tplc="F64A307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7D6C20A8">
      <w:start w:val="1"/>
      <w:numFmt w:val="lowerLetter"/>
      <w:lvlText w:val="%2."/>
      <w:lvlJc w:val="left"/>
      <w:pPr>
        <w:ind w:left="1785" w:hanging="360"/>
      </w:pPr>
    </w:lvl>
    <w:lvl w:ilvl="2" w:tplc="543C0C58">
      <w:start w:val="1"/>
      <w:numFmt w:val="lowerRoman"/>
      <w:lvlText w:val="%3."/>
      <w:lvlJc w:val="right"/>
      <w:pPr>
        <w:ind w:left="2505" w:hanging="180"/>
      </w:pPr>
    </w:lvl>
    <w:lvl w:ilvl="3" w:tplc="E132E4A8">
      <w:start w:val="1"/>
      <w:numFmt w:val="decimal"/>
      <w:lvlText w:val="%4."/>
      <w:lvlJc w:val="left"/>
      <w:pPr>
        <w:ind w:left="3225" w:hanging="360"/>
      </w:pPr>
    </w:lvl>
    <w:lvl w:ilvl="4" w:tplc="B5D6771A">
      <w:start w:val="1"/>
      <w:numFmt w:val="lowerLetter"/>
      <w:lvlText w:val="%5."/>
      <w:lvlJc w:val="left"/>
      <w:pPr>
        <w:ind w:left="3945" w:hanging="360"/>
      </w:pPr>
    </w:lvl>
    <w:lvl w:ilvl="5" w:tplc="C512D236">
      <w:start w:val="1"/>
      <w:numFmt w:val="lowerRoman"/>
      <w:lvlText w:val="%6."/>
      <w:lvlJc w:val="right"/>
      <w:pPr>
        <w:ind w:left="4665" w:hanging="180"/>
      </w:pPr>
    </w:lvl>
    <w:lvl w:ilvl="6" w:tplc="11AA2A66">
      <w:start w:val="1"/>
      <w:numFmt w:val="decimal"/>
      <w:lvlText w:val="%7."/>
      <w:lvlJc w:val="left"/>
      <w:pPr>
        <w:ind w:left="5385" w:hanging="360"/>
      </w:pPr>
    </w:lvl>
    <w:lvl w:ilvl="7" w:tplc="CF2A17A4">
      <w:start w:val="1"/>
      <w:numFmt w:val="lowerLetter"/>
      <w:lvlText w:val="%8."/>
      <w:lvlJc w:val="left"/>
      <w:pPr>
        <w:ind w:left="6105" w:hanging="360"/>
      </w:pPr>
    </w:lvl>
    <w:lvl w:ilvl="8" w:tplc="61A8C9C2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501344C"/>
    <w:multiLevelType w:val="hybridMultilevel"/>
    <w:tmpl w:val="04626BA8"/>
    <w:lvl w:ilvl="0" w:tplc="702497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46685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F45C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86EC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A4B3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C041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E649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4EF0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B47F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33446EB"/>
    <w:multiLevelType w:val="hybridMultilevel"/>
    <w:tmpl w:val="D25CADC2"/>
    <w:lvl w:ilvl="0" w:tplc="571E6DC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ECF2BE0C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6A4ED26C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17EC17B2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DE2853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B380C0BE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D2DA6C4E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87B6F6A6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D682DB7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0" w15:restartNumberingAfterBreak="0">
    <w:nsid w:val="5FC961B6"/>
    <w:multiLevelType w:val="hybridMultilevel"/>
    <w:tmpl w:val="BB7653DA"/>
    <w:lvl w:ilvl="0" w:tplc="3F2AB5C4">
      <w:start w:val="1"/>
      <w:numFmt w:val="decimal"/>
      <w:lvlText w:val="%1)"/>
      <w:lvlJc w:val="right"/>
      <w:pPr>
        <w:ind w:left="709" w:hanging="360"/>
      </w:pPr>
    </w:lvl>
    <w:lvl w:ilvl="1" w:tplc="B58AE662">
      <w:start w:val="1"/>
      <w:numFmt w:val="lowerLetter"/>
      <w:lvlText w:val="%2."/>
      <w:lvlJc w:val="left"/>
      <w:pPr>
        <w:ind w:left="1429" w:hanging="360"/>
      </w:pPr>
    </w:lvl>
    <w:lvl w:ilvl="2" w:tplc="CB1A5320">
      <w:start w:val="1"/>
      <w:numFmt w:val="lowerRoman"/>
      <w:lvlText w:val="%3."/>
      <w:lvlJc w:val="right"/>
      <w:pPr>
        <w:ind w:left="2149" w:hanging="180"/>
      </w:pPr>
    </w:lvl>
    <w:lvl w:ilvl="3" w:tplc="675A52E8">
      <w:start w:val="1"/>
      <w:numFmt w:val="decimal"/>
      <w:lvlText w:val="%4."/>
      <w:lvlJc w:val="left"/>
      <w:pPr>
        <w:ind w:left="2869" w:hanging="360"/>
      </w:pPr>
    </w:lvl>
    <w:lvl w:ilvl="4" w:tplc="0E623F5E">
      <w:start w:val="1"/>
      <w:numFmt w:val="lowerLetter"/>
      <w:lvlText w:val="%5."/>
      <w:lvlJc w:val="left"/>
      <w:pPr>
        <w:ind w:left="3589" w:hanging="360"/>
      </w:pPr>
    </w:lvl>
    <w:lvl w:ilvl="5" w:tplc="492EFAA4">
      <w:start w:val="1"/>
      <w:numFmt w:val="lowerRoman"/>
      <w:lvlText w:val="%6."/>
      <w:lvlJc w:val="right"/>
      <w:pPr>
        <w:ind w:left="4309" w:hanging="180"/>
      </w:pPr>
    </w:lvl>
    <w:lvl w:ilvl="6" w:tplc="17AA168A">
      <w:start w:val="1"/>
      <w:numFmt w:val="decimal"/>
      <w:lvlText w:val="%7."/>
      <w:lvlJc w:val="left"/>
      <w:pPr>
        <w:ind w:left="5029" w:hanging="360"/>
      </w:pPr>
    </w:lvl>
    <w:lvl w:ilvl="7" w:tplc="EFFE87DE">
      <w:start w:val="1"/>
      <w:numFmt w:val="lowerLetter"/>
      <w:lvlText w:val="%8."/>
      <w:lvlJc w:val="left"/>
      <w:pPr>
        <w:ind w:left="5749" w:hanging="360"/>
      </w:pPr>
    </w:lvl>
    <w:lvl w:ilvl="8" w:tplc="C12AD9CA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66910845"/>
    <w:multiLevelType w:val="hybridMultilevel"/>
    <w:tmpl w:val="EE88763C"/>
    <w:lvl w:ilvl="0" w:tplc="722A36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4FCB1F0">
      <w:start w:val="1"/>
      <w:numFmt w:val="lowerLetter"/>
      <w:lvlText w:val="%2."/>
      <w:lvlJc w:val="left"/>
      <w:pPr>
        <w:ind w:left="1440" w:hanging="360"/>
      </w:pPr>
    </w:lvl>
    <w:lvl w:ilvl="2" w:tplc="CC402BBE">
      <w:start w:val="1"/>
      <w:numFmt w:val="lowerRoman"/>
      <w:lvlText w:val="%3."/>
      <w:lvlJc w:val="right"/>
      <w:pPr>
        <w:ind w:left="2160" w:hanging="180"/>
      </w:pPr>
    </w:lvl>
    <w:lvl w:ilvl="3" w:tplc="5DA86FA8">
      <w:start w:val="1"/>
      <w:numFmt w:val="decimal"/>
      <w:lvlText w:val="%4."/>
      <w:lvlJc w:val="left"/>
      <w:pPr>
        <w:ind w:left="2880" w:hanging="360"/>
      </w:pPr>
    </w:lvl>
    <w:lvl w:ilvl="4" w:tplc="07D8627A">
      <w:start w:val="1"/>
      <w:numFmt w:val="lowerLetter"/>
      <w:lvlText w:val="%5."/>
      <w:lvlJc w:val="left"/>
      <w:pPr>
        <w:ind w:left="3600" w:hanging="360"/>
      </w:pPr>
    </w:lvl>
    <w:lvl w:ilvl="5" w:tplc="5F34E1B4">
      <w:start w:val="1"/>
      <w:numFmt w:val="lowerRoman"/>
      <w:lvlText w:val="%6."/>
      <w:lvlJc w:val="right"/>
      <w:pPr>
        <w:ind w:left="4320" w:hanging="180"/>
      </w:pPr>
    </w:lvl>
    <w:lvl w:ilvl="6" w:tplc="71C28972">
      <w:start w:val="1"/>
      <w:numFmt w:val="decimal"/>
      <w:lvlText w:val="%7."/>
      <w:lvlJc w:val="left"/>
      <w:pPr>
        <w:ind w:left="5040" w:hanging="360"/>
      </w:pPr>
    </w:lvl>
    <w:lvl w:ilvl="7" w:tplc="56F45C9C">
      <w:start w:val="1"/>
      <w:numFmt w:val="lowerLetter"/>
      <w:lvlText w:val="%8."/>
      <w:lvlJc w:val="left"/>
      <w:pPr>
        <w:ind w:left="5760" w:hanging="360"/>
      </w:pPr>
    </w:lvl>
    <w:lvl w:ilvl="8" w:tplc="3782F1E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E201E"/>
    <w:multiLevelType w:val="hybridMultilevel"/>
    <w:tmpl w:val="AF642DB2"/>
    <w:lvl w:ilvl="0" w:tplc="53C65AAC">
      <w:start w:val="1"/>
      <w:numFmt w:val="decimal"/>
      <w:lvlText w:val="%1)"/>
      <w:lvlJc w:val="right"/>
      <w:pPr>
        <w:ind w:left="709" w:hanging="360"/>
      </w:pPr>
    </w:lvl>
    <w:lvl w:ilvl="1" w:tplc="FE92ACBA">
      <w:start w:val="1"/>
      <w:numFmt w:val="lowerLetter"/>
      <w:lvlText w:val="%2."/>
      <w:lvlJc w:val="left"/>
      <w:pPr>
        <w:ind w:left="1429" w:hanging="360"/>
      </w:pPr>
    </w:lvl>
    <w:lvl w:ilvl="2" w:tplc="E4B4828C">
      <w:start w:val="1"/>
      <w:numFmt w:val="lowerRoman"/>
      <w:lvlText w:val="%3."/>
      <w:lvlJc w:val="right"/>
      <w:pPr>
        <w:ind w:left="2149" w:hanging="180"/>
      </w:pPr>
    </w:lvl>
    <w:lvl w:ilvl="3" w:tplc="D48CA822">
      <w:start w:val="1"/>
      <w:numFmt w:val="decimal"/>
      <w:lvlText w:val="%4."/>
      <w:lvlJc w:val="left"/>
      <w:pPr>
        <w:ind w:left="2869" w:hanging="360"/>
      </w:pPr>
    </w:lvl>
    <w:lvl w:ilvl="4" w:tplc="B224BC42">
      <w:start w:val="1"/>
      <w:numFmt w:val="lowerLetter"/>
      <w:lvlText w:val="%5."/>
      <w:lvlJc w:val="left"/>
      <w:pPr>
        <w:ind w:left="3589" w:hanging="360"/>
      </w:pPr>
    </w:lvl>
    <w:lvl w:ilvl="5" w:tplc="D1B6B1C8">
      <w:start w:val="1"/>
      <w:numFmt w:val="lowerRoman"/>
      <w:lvlText w:val="%6."/>
      <w:lvlJc w:val="right"/>
      <w:pPr>
        <w:ind w:left="4309" w:hanging="180"/>
      </w:pPr>
    </w:lvl>
    <w:lvl w:ilvl="6" w:tplc="EA74F68A">
      <w:start w:val="1"/>
      <w:numFmt w:val="decimal"/>
      <w:lvlText w:val="%7."/>
      <w:lvlJc w:val="left"/>
      <w:pPr>
        <w:ind w:left="5029" w:hanging="360"/>
      </w:pPr>
    </w:lvl>
    <w:lvl w:ilvl="7" w:tplc="9B22169C">
      <w:start w:val="1"/>
      <w:numFmt w:val="lowerLetter"/>
      <w:lvlText w:val="%8."/>
      <w:lvlJc w:val="left"/>
      <w:pPr>
        <w:ind w:left="5749" w:hanging="360"/>
      </w:pPr>
    </w:lvl>
    <w:lvl w:ilvl="8" w:tplc="D124D662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6FE91F23"/>
    <w:multiLevelType w:val="hybridMultilevel"/>
    <w:tmpl w:val="7F00836A"/>
    <w:lvl w:ilvl="0" w:tplc="DE72737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F3AEE8CA">
      <w:start w:val="1"/>
      <w:numFmt w:val="lowerLetter"/>
      <w:lvlText w:val="%2."/>
      <w:lvlJc w:val="left"/>
      <w:pPr>
        <w:ind w:left="1440" w:hanging="360"/>
      </w:pPr>
    </w:lvl>
    <w:lvl w:ilvl="2" w:tplc="19DEAE4C">
      <w:start w:val="1"/>
      <w:numFmt w:val="lowerRoman"/>
      <w:lvlText w:val="%3."/>
      <w:lvlJc w:val="right"/>
      <w:pPr>
        <w:ind w:left="2160" w:hanging="180"/>
      </w:pPr>
    </w:lvl>
    <w:lvl w:ilvl="3" w:tplc="23C49F2C">
      <w:start w:val="1"/>
      <w:numFmt w:val="decimal"/>
      <w:lvlText w:val="%4."/>
      <w:lvlJc w:val="left"/>
      <w:pPr>
        <w:ind w:left="2880" w:hanging="360"/>
      </w:pPr>
    </w:lvl>
    <w:lvl w:ilvl="4" w:tplc="FBB85E1C">
      <w:start w:val="1"/>
      <w:numFmt w:val="lowerLetter"/>
      <w:lvlText w:val="%5."/>
      <w:lvlJc w:val="left"/>
      <w:pPr>
        <w:ind w:left="3600" w:hanging="360"/>
      </w:pPr>
    </w:lvl>
    <w:lvl w:ilvl="5" w:tplc="BABA0948">
      <w:start w:val="1"/>
      <w:numFmt w:val="lowerRoman"/>
      <w:lvlText w:val="%6."/>
      <w:lvlJc w:val="right"/>
      <w:pPr>
        <w:ind w:left="4320" w:hanging="180"/>
      </w:pPr>
    </w:lvl>
    <w:lvl w:ilvl="6" w:tplc="6BE6C8BA">
      <w:start w:val="1"/>
      <w:numFmt w:val="decimal"/>
      <w:lvlText w:val="%7."/>
      <w:lvlJc w:val="left"/>
      <w:pPr>
        <w:ind w:left="5040" w:hanging="360"/>
      </w:pPr>
    </w:lvl>
    <w:lvl w:ilvl="7" w:tplc="1CB24256">
      <w:start w:val="1"/>
      <w:numFmt w:val="lowerLetter"/>
      <w:lvlText w:val="%8."/>
      <w:lvlJc w:val="left"/>
      <w:pPr>
        <w:ind w:left="5760" w:hanging="360"/>
      </w:pPr>
    </w:lvl>
    <w:lvl w:ilvl="8" w:tplc="46E04B3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A06F3"/>
    <w:multiLevelType w:val="hybridMultilevel"/>
    <w:tmpl w:val="AAB2227A"/>
    <w:lvl w:ilvl="0" w:tplc="2C2CE5F2">
      <w:start w:val="1"/>
      <w:numFmt w:val="lowerLetter"/>
      <w:lvlText w:val="%1)"/>
      <w:lvlJc w:val="left"/>
      <w:pPr>
        <w:ind w:left="1785" w:hanging="360"/>
      </w:pPr>
    </w:lvl>
    <w:lvl w:ilvl="1" w:tplc="FCD04D70">
      <w:start w:val="1"/>
      <w:numFmt w:val="lowerLetter"/>
      <w:lvlText w:val="%2."/>
      <w:lvlJc w:val="left"/>
      <w:pPr>
        <w:ind w:left="2505" w:hanging="360"/>
      </w:pPr>
    </w:lvl>
    <w:lvl w:ilvl="2" w:tplc="343893B4">
      <w:start w:val="1"/>
      <w:numFmt w:val="lowerRoman"/>
      <w:lvlText w:val="%3."/>
      <w:lvlJc w:val="right"/>
      <w:pPr>
        <w:ind w:left="3225" w:hanging="180"/>
      </w:pPr>
    </w:lvl>
    <w:lvl w:ilvl="3" w:tplc="E7DED6D2">
      <w:start w:val="1"/>
      <w:numFmt w:val="decimal"/>
      <w:lvlText w:val="%4."/>
      <w:lvlJc w:val="left"/>
      <w:pPr>
        <w:ind w:left="3945" w:hanging="360"/>
      </w:pPr>
    </w:lvl>
    <w:lvl w:ilvl="4" w:tplc="D41AAB84">
      <w:start w:val="1"/>
      <w:numFmt w:val="lowerLetter"/>
      <w:lvlText w:val="%5."/>
      <w:lvlJc w:val="left"/>
      <w:pPr>
        <w:ind w:left="4665" w:hanging="360"/>
      </w:pPr>
    </w:lvl>
    <w:lvl w:ilvl="5" w:tplc="604EF9AC">
      <w:start w:val="1"/>
      <w:numFmt w:val="lowerRoman"/>
      <w:lvlText w:val="%6."/>
      <w:lvlJc w:val="right"/>
      <w:pPr>
        <w:ind w:left="5385" w:hanging="180"/>
      </w:pPr>
    </w:lvl>
    <w:lvl w:ilvl="6" w:tplc="CEFC50DE">
      <w:start w:val="1"/>
      <w:numFmt w:val="decimal"/>
      <w:lvlText w:val="%7."/>
      <w:lvlJc w:val="left"/>
      <w:pPr>
        <w:ind w:left="6105" w:hanging="360"/>
      </w:pPr>
    </w:lvl>
    <w:lvl w:ilvl="7" w:tplc="EF02C0D6">
      <w:start w:val="1"/>
      <w:numFmt w:val="lowerLetter"/>
      <w:lvlText w:val="%8."/>
      <w:lvlJc w:val="left"/>
      <w:pPr>
        <w:ind w:left="6825" w:hanging="360"/>
      </w:pPr>
    </w:lvl>
    <w:lvl w:ilvl="8" w:tplc="5EBEF7AC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9"/>
    <w:lvlOverride w:ilvl="0">
      <w:lvl w:ilvl="0" w:tplc="571E6DCE">
        <w:start w:val="1"/>
        <w:numFmt w:val="lowerLetter"/>
        <w:lvlText w:val="%1."/>
        <w:lvlJc w:val="left"/>
      </w:lvl>
    </w:lvlOverride>
  </w:num>
  <w:num w:numId="2">
    <w:abstractNumId w:val="4"/>
  </w:num>
  <w:num w:numId="3">
    <w:abstractNumId w:val="13"/>
  </w:num>
  <w:num w:numId="4">
    <w:abstractNumId w:val="14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3A"/>
    <w:rsid w:val="001B50A4"/>
    <w:rsid w:val="00757A44"/>
    <w:rsid w:val="00C0233A"/>
    <w:rsid w:val="00C94932"/>
    <w:rsid w:val="00F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27C7B-7416-44EF-85AB-5F84FBE8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Normlnweb">
    <w:name w:val="Normal (Web)"/>
    <w:basedOn w:val="Normln"/>
    <w:uiPriority w:val="99"/>
    <w:unhideWhenUsed/>
    <w:pPr>
      <w:spacing w:after="113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data">
    <w:name w:val="docdata"/>
    <w:basedOn w:val="Normln"/>
    <w:pPr>
      <w:spacing w:after="113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B95008A-E0F8-4D3A-9FFF-D9B9FD5AD8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1171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Langerová</dc:creator>
  <cp:keywords/>
  <dc:description/>
  <cp:lastModifiedBy>Jarmila Straková</cp:lastModifiedBy>
  <cp:revision>12</cp:revision>
  <dcterms:created xsi:type="dcterms:W3CDTF">2022-10-20T07:16:00Z</dcterms:created>
  <dcterms:modified xsi:type="dcterms:W3CDTF">2022-11-21T07:30:00Z</dcterms:modified>
</cp:coreProperties>
</file>