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D7EA" w14:textId="77777777" w:rsidR="007A637C" w:rsidRDefault="007A637C" w:rsidP="002F1873">
      <w:pPr>
        <w:jc w:val="center"/>
        <w:rPr>
          <w:b/>
          <w:sz w:val="28"/>
          <w:szCs w:val="28"/>
        </w:rPr>
      </w:pPr>
    </w:p>
    <w:p w14:paraId="4D20F2E4" w14:textId="4175FE2C" w:rsidR="000112C9" w:rsidRDefault="00C97FDE" w:rsidP="00D11EAA">
      <w:pPr>
        <w:spacing w:line="312" w:lineRule="auto"/>
        <w:jc w:val="center"/>
        <w:rPr>
          <w:b/>
          <w:sz w:val="32"/>
          <w:szCs w:val="32"/>
        </w:rPr>
      </w:pPr>
      <w:r>
        <w:rPr>
          <w:b/>
          <w:noProof/>
          <w:sz w:val="32"/>
          <w:szCs w:val="32"/>
        </w:rPr>
        <w:drawing>
          <wp:anchor distT="0" distB="0" distL="114300" distR="114300" simplePos="0" relativeHeight="251657728" behindDoc="1" locked="0" layoutInCell="1" allowOverlap="1" wp14:anchorId="58038327" wp14:editId="2308592B">
            <wp:simplePos x="0" y="0"/>
            <wp:positionH relativeFrom="column">
              <wp:posOffset>2529840</wp:posOffset>
            </wp:positionH>
            <wp:positionV relativeFrom="paragraph">
              <wp:posOffset>-247650</wp:posOffset>
            </wp:positionV>
            <wp:extent cx="695325" cy="762000"/>
            <wp:effectExtent l="0" t="0" r="0" b="0"/>
            <wp:wrapTight wrapText="bothSides">
              <wp:wrapPolygon edited="0">
                <wp:start x="0" y="0"/>
                <wp:lineTo x="0" y="21060"/>
                <wp:lineTo x="21304" y="21060"/>
                <wp:lineTo x="2130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2E83A" w14:textId="77777777" w:rsidR="000112C9" w:rsidRDefault="000112C9" w:rsidP="00D11EAA">
      <w:pPr>
        <w:spacing w:line="312" w:lineRule="auto"/>
        <w:jc w:val="center"/>
        <w:rPr>
          <w:b/>
          <w:sz w:val="32"/>
          <w:szCs w:val="32"/>
        </w:rPr>
      </w:pPr>
    </w:p>
    <w:p w14:paraId="269C42AD" w14:textId="4779E059" w:rsidR="00822402" w:rsidRDefault="00822402" w:rsidP="00D11EAA">
      <w:pPr>
        <w:spacing w:line="312" w:lineRule="auto"/>
        <w:jc w:val="center"/>
        <w:rPr>
          <w:b/>
          <w:color w:val="0070C0"/>
          <w:sz w:val="32"/>
          <w:szCs w:val="32"/>
        </w:rPr>
      </w:pPr>
      <w:r>
        <w:rPr>
          <w:b/>
          <w:color w:val="0070C0"/>
          <w:sz w:val="32"/>
          <w:szCs w:val="32"/>
        </w:rPr>
        <w:t>Městys Kamenice</w:t>
      </w:r>
    </w:p>
    <w:p w14:paraId="04E3973E" w14:textId="03065FF7" w:rsidR="00A2670F" w:rsidRPr="00A2670F" w:rsidRDefault="00A2670F" w:rsidP="00D11EAA">
      <w:pPr>
        <w:spacing w:line="312" w:lineRule="auto"/>
        <w:jc w:val="center"/>
        <w:rPr>
          <w:b/>
          <w:color w:val="0070C0"/>
          <w:sz w:val="32"/>
          <w:szCs w:val="32"/>
        </w:rPr>
      </w:pPr>
      <w:r w:rsidRPr="00A2670F">
        <w:rPr>
          <w:b/>
          <w:color w:val="0070C0"/>
          <w:sz w:val="32"/>
          <w:szCs w:val="32"/>
        </w:rPr>
        <w:t>Zastupitelstvo městyse Kamenice</w:t>
      </w:r>
    </w:p>
    <w:p w14:paraId="23D05778" w14:textId="77777777" w:rsidR="006D675C" w:rsidRDefault="006D675C" w:rsidP="00D11EAA">
      <w:pPr>
        <w:spacing w:line="312" w:lineRule="auto"/>
        <w:jc w:val="center"/>
        <w:rPr>
          <w:b/>
          <w:sz w:val="32"/>
          <w:szCs w:val="32"/>
        </w:rPr>
      </w:pPr>
    </w:p>
    <w:p w14:paraId="6463B2EA" w14:textId="074B2BA8" w:rsidR="00D11EAA" w:rsidRDefault="00D11EAA" w:rsidP="00D11EAA">
      <w:pPr>
        <w:spacing w:line="312" w:lineRule="auto"/>
        <w:jc w:val="center"/>
        <w:rPr>
          <w:b/>
          <w:sz w:val="32"/>
          <w:szCs w:val="32"/>
        </w:rPr>
      </w:pPr>
      <w:r w:rsidRPr="0002190F">
        <w:rPr>
          <w:b/>
          <w:sz w:val="32"/>
          <w:szCs w:val="32"/>
        </w:rPr>
        <w:t>Obecně závazná vyhláška</w:t>
      </w:r>
      <w:r w:rsidR="00690C5D">
        <w:rPr>
          <w:b/>
          <w:sz w:val="32"/>
          <w:szCs w:val="32"/>
        </w:rPr>
        <w:t xml:space="preserve"> č. 2/2025</w:t>
      </w:r>
      <w:r w:rsidR="0079483D">
        <w:rPr>
          <w:b/>
          <w:sz w:val="32"/>
          <w:szCs w:val="32"/>
        </w:rPr>
        <w:t xml:space="preserve"> </w:t>
      </w:r>
    </w:p>
    <w:p w14:paraId="5FD39D89" w14:textId="0E85E239" w:rsidR="00D11EAA" w:rsidRPr="0002190F" w:rsidRDefault="008F7933" w:rsidP="00D11EAA">
      <w:pPr>
        <w:jc w:val="center"/>
        <w:rPr>
          <w:b/>
          <w:bCs/>
          <w:sz w:val="32"/>
          <w:szCs w:val="32"/>
        </w:rPr>
      </w:pPr>
      <w:r>
        <w:rPr>
          <w:b/>
          <w:bCs/>
          <w:sz w:val="32"/>
          <w:szCs w:val="32"/>
        </w:rPr>
        <w:t>O stanovení obecního systému odpadového hospodářství</w:t>
      </w:r>
    </w:p>
    <w:p w14:paraId="544F8B80" w14:textId="77777777" w:rsidR="00D11EAA" w:rsidRPr="00BA74E4" w:rsidRDefault="00D11EAA" w:rsidP="00D11EAA">
      <w:pPr>
        <w:jc w:val="both"/>
      </w:pPr>
    </w:p>
    <w:p w14:paraId="34AE0E75" w14:textId="5BBFC341" w:rsidR="008F7933" w:rsidRPr="008F7933" w:rsidRDefault="008F7933" w:rsidP="00387689">
      <w:pPr>
        <w:pStyle w:val="Zkladntext"/>
      </w:pPr>
      <w:r w:rsidRPr="008F7933">
        <w:t xml:space="preserve">Zastupitelstvo městyse Kamenice se na svém </w:t>
      </w:r>
      <w:r w:rsidR="006D675C">
        <w:t>20.</w:t>
      </w:r>
      <w:r w:rsidRPr="008F7933">
        <w:t xml:space="preserve"> zasedání dne </w:t>
      </w:r>
      <w:r w:rsidR="006D675C">
        <w:t>14. 4. 2025</w:t>
      </w:r>
      <w:r w:rsidRPr="008F7933">
        <w:t xml:space="preserve"> usnesením č.</w:t>
      </w:r>
      <w:r w:rsidR="006D543F">
        <w:t> </w:t>
      </w:r>
      <w:r w:rsidR="00BE55D7">
        <w:t>360/2025/ZM</w:t>
      </w:r>
      <w:r w:rsidRPr="008F7933">
        <w:t xml:space="preserve"> usneslo vydat na základě § 59 odst. 4 zákona č. 541/2020 Sb., o odpadech (dále jen „zákon o odpadech“), a v souladu s § 10 písm. d) a § 84 odst. 2 písm. h) zákona č.</w:t>
      </w:r>
      <w:r w:rsidR="006D543F">
        <w:t> </w:t>
      </w:r>
      <w:r w:rsidRPr="008F7933">
        <w:t>128/2000 Sb., o obcích (obecní zřízení), ve znění pozdějších předpisů, tuto obecně závaznou vyhlášku (dále jen „vyhláška“):</w:t>
      </w:r>
    </w:p>
    <w:p w14:paraId="146D6A2F" w14:textId="77777777" w:rsidR="008F7933" w:rsidRPr="008F7933" w:rsidRDefault="008F7933" w:rsidP="008F7933">
      <w:pPr>
        <w:pStyle w:val="Zkladntext"/>
        <w:jc w:val="left"/>
      </w:pPr>
    </w:p>
    <w:p w14:paraId="448F5215" w14:textId="370AF30B" w:rsidR="008F7933" w:rsidRPr="008F7933" w:rsidRDefault="008F7933" w:rsidP="006D543F">
      <w:pPr>
        <w:pStyle w:val="Zkladntext"/>
        <w:jc w:val="center"/>
        <w:rPr>
          <w:b/>
        </w:rPr>
      </w:pPr>
      <w:r w:rsidRPr="008F7933">
        <w:rPr>
          <w:b/>
        </w:rPr>
        <w:t>Čl. 1</w:t>
      </w:r>
    </w:p>
    <w:p w14:paraId="494CD4A2" w14:textId="77777777" w:rsidR="008F7933" w:rsidRPr="008F7933" w:rsidRDefault="008F7933" w:rsidP="006D543F">
      <w:pPr>
        <w:pStyle w:val="Zkladntext"/>
        <w:jc w:val="center"/>
        <w:rPr>
          <w:b/>
          <w:bCs/>
        </w:rPr>
      </w:pPr>
      <w:r w:rsidRPr="008F7933">
        <w:rPr>
          <w:b/>
          <w:bCs/>
        </w:rPr>
        <w:t>Úvodní ustanovení</w:t>
      </w:r>
    </w:p>
    <w:p w14:paraId="23861F00" w14:textId="77777777" w:rsidR="008F7933" w:rsidRPr="008F7933" w:rsidRDefault="008F7933" w:rsidP="008F7933">
      <w:pPr>
        <w:pStyle w:val="Zkladntext"/>
        <w:jc w:val="left"/>
      </w:pPr>
    </w:p>
    <w:p w14:paraId="6B5FF5CD" w14:textId="432EC2C7" w:rsidR="008F7933" w:rsidRPr="008F7933" w:rsidRDefault="008F7933" w:rsidP="00F717EF">
      <w:pPr>
        <w:pStyle w:val="Zkladntext"/>
        <w:numPr>
          <w:ilvl w:val="0"/>
          <w:numId w:val="2"/>
        </w:numPr>
        <w:ind w:left="284" w:hanging="284"/>
      </w:pPr>
      <w:r w:rsidRPr="008F7933">
        <w:t xml:space="preserve">Tato vyhláška stanovuje obecní systém odpadového hospodářství na území </w:t>
      </w:r>
      <w:r w:rsidR="006D543F">
        <w:t>M</w:t>
      </w:r>
      <w:r w:rsidRPr="008F7933">
        <w:t>ěstyse Kamenice</w:t>
      </w:r>
      <w:r w:rsidR="006D543F">
        <w:t xml:space="preserve"> a jejich místních částí Kamenička, Řehořov a Vržanov</w:t>
      </w:r>
      <w:r w:rsidRPr="008F7933">
        <w:t xml:space="preserve"> (dále jen </w:t>
      </w:r>
      <w:r w:rsidR="00A2670F">
        <w:t>městys</w:t>
      </w:r>
      <w:r w:rsidRPr="008F7933">
        <w:t>).</w:t>
      </w:r>
    </w:p>
    <w:p w14:paraId="5B659928" w14:textId="77777777" w:rsidR="008F7933" w:rsidRPr="008F7933" w:rsidRDefault="008F7933" w:rsidP="00F717EF">
      <w:pPr>
        <w:pStyle w:val="Zkladntext"/>
        <w:ind w:left="284" w:hanging="284"/>
      </w:pPr>
    </w:p>
    <w:p w14:paraId="63B16BB8" w14:textId="6DB0963B" w:rsidR="008F7933" w:rsidRPr="008F7933" w:rsidRDefault="008F7933" w:rsidP="00F717EF">
      <w:pPr>
        <w:pStyle w:val="Zkladntext"/>
        <w:numPr>
          <w:ilvl w:val="0"/>
          <w:numId w:val="2"/>
        </w:numPr>
        <w:ind w:left="284" w:hanging="284"/>
      </w:pPr>
      <w:r w:rsidRPr="008F7933">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8F7933">
        <w:rPr>
          <w:vertAlign w:val="superscript"/>
        </w:rPr>
        <w:footnoteReference w:id="1"/>
      </w:r>
      <w:r w:rsidRPr="008F7933">
        <w:t>.</w:t>
      </w:r>
    </w:p>
    <w:p w14:paraId="287E6A08" w14:textId="77777777" w:rsidR="008F7933" w:rsidRPr="008F7933" w:rsidRDefault="008F7933" w:rsidP="00F717EF">
      <w:pPr>
        <w:pStyle w:val="Zkladntext"/>
        <w:ind w:left="284" w:hanging="284"/>
      </w:pPr>
    </w:p>
    <w:p w14:paraId="14B675DF" w14:textId="418AFA3A" w:rsidR="008F7933" w:rsidRPr="008F7933" w:rsidRDefault="008F7933" w:rsidP="00F717EF">
      <w:pPr>
        <w:pStyle w:val="Zkladntext"/>
        <w:numPr>
          <w:ilvl w:val="0"/>
          <w:numId w:val="2"/>
        </w:numPr>
        <w:ind w:left="284" w:hanging="284"/>
      </w:pPr>
      <w:r w:rsidRPr="008F7933">
        <w:t>V okamžiku, kdy osoba zapojená do obecního systému odloží movitou věc nebo odpad, s</w:t>
      </w:r>
      <w:r w:rsidR="000F2E39">
        <w:t> </w:t>
      </w:r>
      <w:r w:rsidRPr="008F7933">
        <w:t xml:space="preserve">výjimkou výrobků s ukončenou životností, na místě </w:t>
      </w:r>
      <w:r w:rsidR="00A2670F">
        <w:t>městysem</w:t>
      </w:r>
      <w:r w:rsidRPr="008F7933">
        <w:t xml:space="preserve"> k tomuto účelu určeném, stává se </w:t>
      </w:r>
      <w:r w:rsidR="00A2670F">
        <w:t>městys</w:t>
      </w:r>
      <w:r w:rsidRPr="008F7933">
        <w:t xml:space="preserve"> vlastníkem této movité věci nebo odpadu</w:t>
      </w:r>
      <w:r w:rsidRPr="008F7933">
        <w:rPr>
          <w:vertAlign w:val="superscript"/>
        </w:rPr>
        <w:footnoteReference w:id="2"/>
      </w:r>
      <w:r w:rsidRPr="008F7933">
        <w:t xml:space="preserve">. </w:t>
      </w:r>
    </w:p>
    <w:p w14:paraId="36D4B1FF" w14:textId="77777777" w:rsidR="008F7933" w:rsidRPr="008F7933" w:rsidRDefault="008F7933" w:rsidP="00F717EF">
      <w:pPr>
        <w:pStyle w:val="Zkladntext"/>
        <w:ind w:left="284" w:hanging="284"/>
      </w:pPr>
    </w:p>
    <w:p w14:paraId="18BD5024" w14:textId="4FADB98E" w:rsidR="008F7933" w:rsidRPr="008F7933" w:rsidRDefault="008F7933" w:rsidP="00F717EF">
      <w:pPr>
        <w:pStyle w:val="Zkladntext"/>
        <w:numPr>
          <w:ilvl w:val="0"/>
          <w:numId w:val="2"/>
        </w:numPr>
        <w:ind w:left="284" w:hanging="284"/>
      </w:pPr>
      <w:r w:rsidRPr="008F7933">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1B83A03" w14:textId="77777777" w:rsidR="008F7933" w:rsidRPr="008F7933" w:rsidRDefault="008F7933" w:rsidP="00F717EF">
      <w:pPr>
        <w:pStyle w:val="Zkladntext"/>
        <w:rPr>
          <w:b/>
          <w:bCs/>
        </w:rPr>
      </w:pPr>
    </w:p>
    <w:p w14:paraId="676B421A" w14:textId="77777777" w:rsidR="008F7933" w:rsidRPr="008F7933" w:rsidRDefault="008F7933" w:rsidP="000F2E39">
      <w:pPr>
        <w:pStyle w:val="Zkladntext"/>
        <w:jc w:val="center"/>
        <w:rPr>
          <w:b/>
        </w:rPr>
      </w:pPr>
      <w:r w:rsidRPr="008F7933">
        <w:rPr>
          <w:b/>
        </w:rPr>
        <w:t>Čl. 2</w:t>
      </w:r>
    </w:p>
    <w:p w14:paraId="18D3C1A4" w14:textId="4EDDBE2E" w:rsidR="008F7933" w:rsidRPr="008F7933" w:rsidRDefault="008F7933" w:rsidP="000F2E39">
      <w:pPr>
        <w:pStyle w:val="Zkladntext"/>
        <w:jc w:val="center"/>
      </w:pPr>
      <w:r w:rsidRPr="008F7933">
        <w:rPr>
          <w:b/>
        </w:rPr>
        <w:t>Oddělené soustřeďování komunálního odpadu</w:t>
      </w:r>
    </w:p>
    <w:p w14:paraId="0EB878D0" w14:textId="77777777" w:rsidR="008F7933" w:rsidRPr="008F7933" w:rsidRDefault="008F7933" w:rsidP="008F7933">
      <w:pPr>
        <w:pStyle w:val="Zkladntext"/>
        <w:jc w:val="left"/>
      </w:pPr>
    </w:p>
    <w:p w14:paraId="55FF7AEF" w14:textId="44C1C775" w:rsidR="008F7933" w:rsidRDefault="008F7933" w:rsidP="00F717EF">
      <w:pPr>
        <w:pStyle w:val="Zkladntext"/>
        <w:numPr>
          <w:ilvl w:val="0"/>
          <w:numId w:val="3"/>
        </w:numPr>
        <w:ind w:left="284" w:hanging="284"/>
      </w:pPr>
      <w:r w:rsidRPr="008F7933">
        <w:t xml:space="preserve">Osoby předávající komunální odpad na místa určená </w:t>
      </w:r>
      <w:r w:rsidR="00A2670F">
        <w:t>městysem</w:t>
      </w:r>
      <w:r w:rsidRPr="008F7933">
        <w:t>, jsou povinny odděleně soustřeďovat následující složky:</w:t>
      </w:r>
    </w:p>
    <w:p w14:paraId="19C89FCF" w14:textId="77777777" w:rsidR="00913B33" w:rsidRDefault="00913B33" w:rsidP="00F717EF">
      <w:pPr>
        <w:pStyle w:val="Zkladntext"/>
        <w:ind w:left="284"/>
      </w:pPr>
    </w:p>
    <w:p w14:paraId="451C0594" w14:textId="4F7A05A5" w:rsidR="008F7933" w:rsidRPr="008F7933" w:rsidRDefault="000F2E39" w:rsidP="00F717EF">
      <w:pPr>
        <w:pStyle w:val="Zkladntext"/>
        <w:numPr>
          <w:ilvl w:val="0"/>
          <w:numId w:val="4"/>
        </w:numPr>
        <w:ind w:left="1134" w:hanging="283"/>
        <w:rPr>
          <w:bCs/>
          <w:iCs/>
        </w:rPr>
      </w:pPr>
      <w:r>
        <w:rPr>
          <w:bCs/>
          <w:iCs/>
        </w:rPr>
        <w:t>b</w:t>
      </w:r>
      <w:r w:rsidR="008F7933" w:rsidRPr="008F7933">
        <w:rPr>
          <w:bCs/>
          <w:iCs/>
        </w:rPr>
        <w:t>iologické odpady rostlinného původu,</w:t>
      </w:r>
    </w:p>
    <w:p w14:paraId="5F0EE80A" w14:textId="42FF9FE1" w:rsidR="008F7933" w:rsidRPr="008F7933" w:rsidRDefault="000F2E39" w:rsidP="00F717EF">
      <w:pPr>
        <w:pStyle w:val="Zkladntext"/>
        <w:numPr>
          <w:ilvl w:val="0"/>
          <w:numId w:val="4"/>
        </w:numPr>
        <w:ind w:left="1134" w:hanging="283"/>
        <w:rPr>
          <w:bCs/>
          <w:iCs/>
        </w:rPr>
      </w:pPr>
      <w:r>
        <w:rPr>
          <w:bCs/>
          <w:iCs/>
        </w:rPr>
        <w:t>p</w:t>
      </w:r>
      <w:r w:rsidR="008F7933" w:rsidRPr="008F7933">
        <w:rPr>
          <w:bCs/>
          <w:iCs/>
        </w:rPr>
        <w:t>apír,</w:t>
      </w:r>
    </w:p>
    <w:p w14:paraId="59E8A957" w14:textId="5A42B112" w:rsidR="008F7933" w:rsidRPr="008F7933" w:rsidRDefault="000F2E39" w:rsidP="00F717EF">
      <w:pPr>
        <w:pStyle w:val="Zkladntext"/>
        <w:numPr>
          <w:ilvl w:val="0"/>
          <w:numId w:val="4"/>
        </w:numPr>
        <w:ind w:left="1134" w:hanging="283"/>
        <w:rPr>
          <w:bCs/>
          <w:iCs/>
        </w:rPr>
      </w:pPr>
      <w:r>
        <w:rPr>
          <w:bCs/>
          <w:iCs/>
        </w:rPr>
        <w:t>p</w:t>
      </w:r>
      <w:r w:rsidR="008F7933" w:rsidRPr="008F7933">
        <w:rPr>
          <w:bCs/>
          <w:iCs/>
        </w:rPr>
        <w:t>lasty včetně PET lahví,</w:t>
      </w:r>
    </w:p>
    <w:p w14:paraId="4DB5430D" w14:textId="6CCBFF48" w:rsidR="008F7933" w:rsidRPr="008F7933" w:rsidRDefault="000F2E39" w:rsidP="00F717EF">
      <w:pPr>
        <w:pStyle w:val="Zkladntext"/>
        <w:numPr>
          <w:ilvl w:val="0"/>
          <w:numId w:val="4"/>
        </w:numPr>
        <w:ind w:left="1134" w:hanging="283"/>
        <w:rPr>
          <w:bCs/>
          <w:iCs/>
        </w:rPr>
      </w:pPr>
      <w:r>
        <w:rPr>
          <w:bCs/>
          <w:iCs/>
        </w:rPr>
        <w:t>s</w:t>
      </w:r>
      <w:r w:rsidR="008F7933" w:rsidRPr="008F7933">
        <w:rPr>
          <w:bCs/>
          <w:iCs/>
        </w:rPr>
        <w:t>klo,</w:t>
      </w:r>
    </w:p>
    <w:p w14:paraId="3DDA1866" w14:textId="40D90ECF" w:rsidR="008F7933" w:rsidRPr="008F7933" w:rsidRDefault="000F2E39" w:rsidP="00F717EF">
      <w:pPr>
        <w:pStyle w:val="Zkladntext"/>
        <w:numPr>
          <w:ilvl w:val="0"/>
          <w:numId w:val="4"/>
        </w:numPr>
        <w:ind w:left="1134" w:hanging="283"/>
        <w:rPr>
          <w:bCs/>
          <w:iCs/>
        </w:rPr>
      </w:pPr>
      <w:r>
        <w:rPr>
          <w:bCs/>
          <w:iCs/>
        </w:rPr>
        <w:t>k</w:t>
      </w:r>
      <w:r w:rsidR="008F7933" w:rsidRPr="008F7933">
        <w:rPr>
          <w:bCs/>
          <w:iCs/>
        </w:rPr>
        <w:t>ovy,</w:t>
      </w:r>
    </w:p>
    <w:p w14:paraId="72E6D040" w14:textId="1A921E85" w:rsidR="008F7933" w:rsidRPr="008F7933" w:rsidRDefault="000F2E39" w:rsidP="00F717EF">
      <w:pPr>
        <w:pStyle w:val="Zkladntext"/>
        <w:numPr>
          <w:ilvl w:val="0"/>
          <w:numId w:val="4"/>
        </w:numPr>
        <w:ind w:left="1134" w:hanging="283"/>
        <w:rPr>
          <w:iCs/>
        </w:rPr>
      </w:pPr>
      <w:r>
        <w:rPr>
          <w:bCs/>
          <w:iCs/>
        </w:rPr>
        <w:lastRenderedPageBreak/>
        <w:t>n</w:t>
      </w:r>
      <w:r w:rsidR="008F7933" w:rsidRPr="008F7933">
        <w:rPr>
          <w:bCs/>
          <w:iCs/>
        </w:rPr>
        <w:t>ebezpečné odpady,</w:t>
      </w:r>
    </w:p>
    <w:p w14:paraId="1BD0273B" w14:textId="6FF8C3D1" w:rsidR="008F7933" w:rsidRPr="008F7933" w:rsidRDefault="000F2E39" w:rsidP="00F717EF">
      <w:pPr>
        <w:pStyle w:val="Zkladntext"/>
        <w:numPr>
          <w:ilvl w:val="0"/>
          <w:numId w:val="4"/>
        </w:numPr>
        <w:ind w:left="1134" w:hanging="283"/>
        <w:rPr>
          <w:bCs/>
          <w:iCs/>
        </w:rPr>
      </w:pPr>
      <w:r>
        <w:rPr>
          <w:bCs/>
          <w:iCs/>
        </w:rPr>
        <w:t>o</w:t>
      </w:r>
      <w:r w:rsidR="008F7933" w:rsidRPr="008F7933">
        <w:rPr>
          <w:bCs/>
          <w:iCs/>
        </w:rPr>
        <w:t>bjemný odpad,</w:t>
      </w:r>
    </w:p>
    <w:p w14:paraId="1B7DBF34" w14:textId="1B4403E5" w:rsidR="008F7933" w:rsidRPr="008F7933" w:rsidRDefault="000F2E39" w:rsidP="00F717EF">
      <w:pPr>
        <w:pStyle w:val="Zkladntext"/>
        <w:numPr>
          <w:ilvl w:val="0"/>
          <w:numId w:val="4"/>
        </w:numPr>
        <w:ind w:left="1134" w:hanging="283"/>
        <w:rPr>
          <w:iCs/>
        </w:rPr>
      </w:pPr>
      <w:r>
        <w:rPr>
          <w:iCs/>
        </w:rPr>
        <w:t>j</w:t>
      </w:r>
      <w:r w:rsidR="008F7933" w:rsidRPr="008F7933">
        <w:rPr>
          <w:iCs/>
        </w:rPr>
        <w:t>edlé oleje a tuky,</w:t>
      </w:r>
    </w:p>
    <w:p w14:paraId="421CED48" w14:textId="55A0708E" w:rsidR="008F7933" w:rsidRPr="008F7933" w:rsidRDefault="000F2E39" w:rsidP="00F717EF">
      <w:pPr>
        <w:pStyle w:val="Zkladntext"/>
        <w:numPr>
          <w:ilvl w:val="0"/>
          <w:numId w:val="4"/>
        </w:numPr>
        <w:ind w:left="1134" w:hanging="283"/>
        <w:rPr>
          <w:iCs/>
        </w:rPr>
      </w:pPr>
      <w:r>
        <w:rPr>
          <w:iCs/>
        </w:rPr>
        <w:t>t</w:t>
      </w:r>
      <w:r w:rsidR="008F7933" w:rsidRPr="008F7933">
        <w:rPr>
          <w:iCs/>
        </w:rPr>
        <w:t xml:space="preserve">extil </w:t>
      </w:r>
    </w:p>
    <w:p w14:paraId="6AC7B041" w14:textId="449B3992" w:rsidR="008F7933" w:rsidRPr="008F7933" w:rsidRDefault="000F2E39" w:rsidP="00F717EF">
      <w:pPr>
        <w:pStyle w:val="Zkladntext"/>
        <w:numPr>
          <w:ilvl w:val="0"/>
          <w:numId w:val="4"/>
        </w:numPr>
        <w:ind w:left="1134" w:hanging="283"/>
        <w:rPr>
          <w:iCs/>
        </w:rPr>
      </w:pPr>
      <w:r>
        <w:rPr>
          <w:iCs/>
        </w:rPr>
        <w:t>n</w:t>
      </w:r>
      <w:r w:rsidR="008F7933" w:rsidRPr="008F7933">
        <w:rPr>
          <w:iCs/>
        </w:rPr>
        <w:t>ápojové kartony,</w:t>
      </w:r>
    </w:p>
    <w:p w14:paraId="09C1AA4C" w14:textId="1E9EA26B" w:rsidR="008F7933" w:rsidRDefault="000F2E39" w:rsidP="00F717EF">
      <w:pPr>
        <w:pStyle w:val="Zkladntext"/>
        <w:numPr>
          <w:ilvl w:val="0"/>
          <w:numId w:val="4"/>
        </w:numPr>
        <w:ind w:left="1134" w:hanging="283"/>
        <w:rPr>
          <w:iCs/>
        </w:rPr>
      </w:pPr>
      <w:r>
        <w:rPr>
          <w:iCs/>
        </w:rPr>
        <w:t>s</w:t>
      </w:r>
      <w:r w:rsidR="008F7933" w:rsidRPr="008F7933">
        <w:rPr>
          <w:iCs/>
        </w:rPr>
        <w:t>měsný komunální odpad</w:t>
      </w:r>
    </w:p>
    <w:p w14:paraId="5D79A9A1" w14:textId="77777777" w:rsidR="006D675C" w:rsidRPr="008F7933" w:rsidRDefault="006D675C" w:rsidP="006D675C">
      <w:pPr>
        <w:pStyle w:val="Zkladntext"/>
        <w:ind w:left="1134"/>
        <w:rPr>
          <w:iCs/>
        </w:rPr>
      </w:pPr>
    </w:p>
    <w:p w14:paraId="013AE21D" w14:textId="77777777" w:rsidR="008F7933" w:rsidRDefault="008F7933" w:rsidP="00F717EF">
      <w:pPr>
        <w:pStyle w:val="Zkladntext"/>
        <w:numPr>
          <w:ilvl w:val="0"/>
          <w:numId w:val="3"/>
        </w:numPr>
        <w:ind w:left="284" w:hanging="284"/>
      </w:pPr>
      <w:r w:rsidRPr="008F7933">
        <w:t>Směsným komunálním odpadem se rozumí zbylý komunální odpad po stanoveném vytřídění podle odstavce 1 písm. a), b), c), d), e), f), g), h), i), j).</w:t>
      </w:r>
    </w:p>
    <w:p w14:paraId="762077EB" w14:textId="77777777" w:rsidR="00913B33" w:rsidRPr="008F7933" w:rsidRDefault="00913B33" w:rsidP="00F717EF">
      <w:pPr>
        <w:pStyle w:val="Zkladntext"/>
        <w:ind w:left="284"/>
      </w:pPr>
    </w:p>
    <w:p w14:paraId="4B012F27" w14:textId="6B2F9F09" w:rsidR="008F7933" w:rsidRDefault="008F7933" w:rsidP="00F717EF">
      <w:pPr>
        <w:pStyle w:val="Zkladntext"/>
        <w:numPr>
          <w:ilvl w:val="0"/>
          <w:numId w:val="3"/>
        </w:numPr>
        <w:ind w:left="284" w:hanging="284"/>
      </w:pPr>
      <w:r w:rsidRPr="008F7933">
        <w:t>Objemný odpad je takový odpad, který vzhledem ke svým rozměrům nemůže být umístěn do sběrných nádob (např. koberce, matrace, nábytek</w:t>
      </w:r>
      <w:r w:rsidR="000F2E39">
        <w:t>)</w:t>
      </w:r>
      <w:r w:rsidRPr="008F7933">
        <w:t>.</w:t>
      </w:r>
    </w:p>
    <w:p w14:paraId="24711FD8" w14:textId="77777777" w:rsidR="00913B33" w:rsidRPr="008F7933" w:rsidRDefault="00913B33" w:rsidP="00913B33">
      <w:pPr>
        <w:pStyle w:val="Zkladntext"/>
        <w:jc w:val="left"/>
      </w:pPr>
    </w:p>
    <w:p w14:paraId="6D2B786F" w14:textId="77777777" w:rsidR="008F7933" w:rsidRPr="008F7933" w:rsidRDefault="008F7933" w:rsidP="00FD3504">
      <w:pPr>
        <w:pStyle w:val="Zkladntext"/>
        <w:jc w:val="center"/>
        <w:rPr>
          <w:b/>
          <w:bCs/>
        </w:rPr>
      </w:pPr>
      <w:r w:rsidRPr="008F7933">
        <w:rPr>
          <w:b/>
          <w:bCs/>
        </w:rPr>
        <w:t>Čl. 3</w:t>
      </w:r>
    </w:p>
    <w:p w14:paraId="2F6578EA" w14:textId="77777777" w:rsidR="008F7933" w:rsidRPr="008F7933" w:rsidRDefault="008F7933" w:rsidP="00FD3504">
      <w:pPr>
        <w:pStyle w:val="Zkladntext"/>
        <w:jc w:val="center"/>
        <w:rPr>
          <w:b/>
          <w:bCs/>
        </w:rPr>
      </w:pPr>
      <w:r w:rsidRPr="008F7933">
        <w:rPr>
          <w:b/>
          <w:bCs/>
        </w:rPr>
        <w:t>Soustřeďování papíru, plastů, skla, kovů, biologického odpadu rostlinného původu, jedlých olejů a tuků, textilu</w:t>
      </w:r>
    </w:p>
    <w:p w14:paraId="62DC7DD3" w14:textId="77777777" w:rsidR="008F7933" w:rsidRPr="008F7933" w:rsidRDefault="008F7933" w:rsidP="008F7933">
      <w:pPr>
        <w:pStyle w:val="Zkladntext"/>
        <w:rPr>
          <w:b/>
          <w:bCs/>
        </w:rPr>
      </w:pPr>
    </w:p>
    <w:p w14:paraId="2C845664" w14:textId="77777777" w:rsidR="00695D64" w:rsidRDefault="008F7933" w:rsidP="00F717EF">
      <w:pPr>
        <w:pStyle w:val="Zkladntext"/>
        <w:numPr>
          <w:ilvl w:val="0"/>
          <w:numId w:val="5"/>
        </w:numPr>
        <w:ind w:left="284" w:hanging="284"/>
      </w:pPr>
      <w:r w:rsidRPr="008F7933">
        <w:t>Papír, plasty, sklo, kovy, biologické odpady rostlinného původu, jedlé oleje a tuky, textil se soustřeďují do zvláštních sběrných nádob, kterými jsou</w:t>
      </w:r>
      <w:r w:rsidR="00695D64">
        <w:t>:</w:t>
      </w:r>
    </w:p>
    <w:p w14:paraId="781505EE" w14:textId="77777777" w:rsidR="00913B33" w:rsidRDefault="00913B33" w:rsidP="00F717EF">
      <w:pPr>
        <w:pStyle w:val="Zkladntext"/>
        <w:ind w:left="284"/>
      </w:pPr>
    </w:p>
    <w:p w14:paraId="63A7D1D7" w14:textId="6716A992" w:rsidR="00695D64" w:rsidRDefault="008F7933" w:rsidP="00F717EF">
      <w:pPr>
        <w:pStyle w:val="Zkladntext"/>
        <w:numPr>
          <w:ilvl w:val="0"/>
          <w:numId w:val="18"/>
        </w:numPr>
        <w:ind w:left="1134" w:hanging="283"/>
      </w:pPr>
      <w:r w:rsidRPr="008F7933">
        <w:t>sběrné nádoby</w:t>
      </w:r>
      <w:r w:rsidR="00695D64">
        <w:t>,</w:t>
      </w:r>
    </w:p>
    <w:p w14:paraId="56FA3002" w14:textId="77777777" w:rsidR="00695D64" w:rsidRDefault="008F7933" w:rsidP="00F717EF">
      <w:pPr>
        <w:pStyle w:val="Zkladntext"/>
        <w:numPr>
          <w:ilvl w:val="0"/>
          <w:numId w:val="18"/>
        </w:numPr>
        <w:ind w:left="1134" w:hanging="283"/>
      </w:pPr>
      <w:r w:rsidRPr="008F7933">
        <w:t>kontejnery</w:t>
      </w:r>
      <w:r w:rsidR="00695D64">
        <w:t>,</w:t>
      </w:r>
    </w:p>
    <w:p w14:paraId="2CC2276B" w14:textId="19CF3478" w:rsidR="007822D5" w:rsidRDefault="007822D5" w:rsidP="00F717EF">
      <w:pPr>
        <w:pStyle w:val="Zkladntext"/>
        <w:numPr>
          <w:ilvl w:val="0"/>
          <w:numId w:val="18"/>
        </w:numPr>
        <w:ind w:left="1134" w:hanging="283"/>
      </w:pPr>
      <w:r>
        <w:t>velkoobjemové kontejnery,</w:t>
      </w:r>
    </w:p>
    <w:p w14:paraId="3FD3F92B" w14:textId="6C9874C6" w:rsidR="008F7933" w:rsidRDefault="00695D64" w:rsidP="00F717EF">
      <w:pPr>
        <w:pStyle w:val="Zkladntext"/>
        <w:numPr>
          <w:ilvl w:val="0"/>
          <w:numId w:val="18"/>
        </w:numPr>
        <w:ind w:left="1134" w:hanging="283"/>
      </w:pPr>
      <w:r>
        <w:t>pytle.</w:t>
      </w:r>
      <w:r w:rsidR="008F7933" w:rsidRPr="008F7933">
        <w:t xml:space="preserve"> </w:t>
      </w:r>
    </w:p>
    <w:p w14:paraId="3E786C8A" w14:textId="77777777" w:rsidR="00913B33" w:rsidRPr="008F7933" w:rsidRDefault="00913B33" w:rsidP="00F717EF">
      <w:pPr>
        <w:pStyle w:val="Zkladntext"/>
        <w:ind w:left="1134"/>
      </w:pPr>
    </w:p>
    <w:p w14:paraId="420AC794" w14:textId="6952289F" w:rsidR="008F7933" w:rsidRDefault="008F7933" w:rsidP="00F717EF">
      <w:pPr>
        <w:pStyle w:val="Zkladntext"/>
        <w:numPr>
          <w:ilvl w:val="0"/>
          <w:numId w:val="5"/>
        </w:numPr>
        <w:ind w:left="284" w:hanging="284"/>
      </w:pPr>
      <w:r w:rsidRPr="008F7933">
        <w:t xml:space="preserve">Zvláštní sběrné nádoby </w:t>
      </w:r>
      <w:r w:rsidR="00897D2A" w:rsidRPr="008F7933">
        <w:t>na papír, sklo, bioodpad</w:t>
      </w:r>
      <w:r w:rsidR="00897D2A">
        <w:t>, směsný odpad, jedlé oleje a tuky, textil a</w:t>
      </w:r>
      <w:r w:rsidR="00F717EF">
        <w:t> </w:t>
      </w:r>
      <w:r w:rsidR="00897D2A">
        <w:t xml:space="preserve">plast </w:t>
      </w:r>
      <w:r w:rsidR="00897D2A" w:rsidRPr="008F7933">
        <w:t xml:space="preserve">jsou umístěny rovnoměrně na území </w:t>
      </w:r>
      <w:r w:rsidR="00A2670F">
        <w:t>městyse</w:t>
      </w:r>
      <w:r w:rsidR="00897D2A" w:rsidRPr="008F7933">
        <w:t xml:space="preserve"> </w:t>
      </w:r>
      <w:r w:rsidR="00897D2A">
        <w:t>a</w:t>
      </w:r>
      <w:r w:rsidR="00F717EF">
        <w:t> v </w:t>
      </w:r>
      <w:r w:rsidR="00897D2A">
        <w:t>místních část</w:t>
      </w:r>
      <w:r w:rsidR="00F717EF">
        <w:t>ech</w:t>
      </w:r>
      <w:r w:rsidR="00897D2A">
        <w:t xml:space="preserve"> v hnízdech uvedených a popsaných v příloze č. 1 této vyhlášky.</w:t>
      </w:r>
      <w:r w:rsidRPr="008F7933">
        <w:t xml:space="preserve"> </w:t>
      </w:r>
    </w:p>
    <w:p w14:paraId="7637B5B5" w14:textId="77777777" w:rsidR="00913B33" w:rsidRPr="008F7933" w:rsidRDefault="00913B33" w:rsidP="00F717EF">
      <w:pPr>
        <w:pStyle w:val="Zkladntext"/>
        <w:ind w:left="284"/>
      </w:pPr>
    </w:p>
    <w:p w14:paraId="3F84054E" w14:textId="003FB5D1" w:rsidR="00897D2A" w:rsidRDefault="00897D2A" w:rsidP="00F717EF">
      <w:pPr>
        <w:pStyle w:val="Zkladntext"/>
        <w:numPr>
          <w:ilvl w:val="0"/>
          <w:numId w:val="5"/>
        </w:numPr>
        <w:ind w:left="284" w:hanging="284"/>
      </w:pPr>
      <w:r>
        <w:t xml:space="preserve">Plasty včetně PET lahví a nápojových kartonů jsou ukládány do </w:t>
      </w:r>
      <w:r w:rsidR="004E532C">
        <w:t xml:space="preserve">průhledných igelitových </w:t>
      </w:r>
      <w:r>
        <w:t xml:space="preserve">pytlů, které obdrží domácnosti zdarma při pravidelných svozech nebo si je mohou vyzvednout na úřadu městyse. </w:t>
      </w:r>
    </w:p>
    <w:p w14:paraId="042559AD" w14:textId="77777777" w:rsidR="00897D2A" w:rsidRDefault="00897D2A" w:rsidP="00897D2A">
      <w:pPr>
        <w:pStyle w:val="Zkladntext"/>
        <w:ind w:left="284"/>
        <w:jc w:val="left"/>
      </w:pPr>
    </w:p>
    <w:p w14:paraId="1553DCFC" w14:textId="5706EB76" w:rsidR="008F7933" w:rsidRDefault="008F7933" w:rsidP="00FD3504">
      <w:pPr>
        <w:pStyle w:val="Zkladntext"/>
        <w:numPr>
          <w:ilvl w:val="0"/>
          <w:numId w:val="5"/>
        </w:numPr>
        <w:ind w:left="284" w:hanging="284"/>
        <w:jc w:val="left"/>
      </w:pPr>
      <w:r w:rsidRPr="008F7933">
        <w:t>Zvláštní sběrné nádoby jsou barevně odlišeny a označeny příslušnými nápisy:</w:t>
      </w:r>
    </w:p>
    <w:p w14:paraId="4CBA7C33" w14:textId="77777777" w:rsidR="00913B33" w:rsidRPr="008F7933" w:rsidRDefault="00913B33" w:rsidP="00913B33">
      <w:pPr>
        <w:pStyle w:val="Zkladntext"/>
        <w:ind w:left="284"/>
        <w:jc w:val="left"/>
      </w:pPr>
    </w:p>
    <w:p w14:paraId="4D517CCC" w14:textId="1599CA37" w:rsidR="008F7933" w:rsidRPr="008F7933" w:rsidRDefault="008F7933" w:rsidP="002C7591">
      <w:pPr>
        <w:pStyle w:val="Zkladntext"/>
        <w:numPr>
          <w:ilvl w:val="0"/>
          <w:numId w:val="7"/>
        </w:numPr>
        <w:ind w:left="1134" w:hanging="284"/>
        <w:jc w:val="left"/>
      </w:pPr>
      <w:r w:rsidRPr="008F7933">
        <w:t>biologicky rozložitelný odpad rostlinného původu – sběrná nádoba hnědé barvy,</w:t>
      </w:r>
      <w:r w:rsidRPr="008F7933">
        <w:rPr>
          <w:iCs/>
        </w:rPr>
        <w:t xml:space="preserve"> </w:t>
      </w:r>
    </w:p>
    <w:p w14:paraId="4A2D825D" w14:textId="44E3D5F6" w:rsidR="008F7933" w:rsidRPr="008F7933" w:rsidRDefault="008F7933" w:rsidP="002C7591">
      <w:pPr>
        <w:pStyle w:val="Zkladntext"/>
        <w:numPr>
          <w:ilvl w:val="0"/>
          <w:numId w:val="7"/>
        </w:numPr>
        <w:ind w:left="1134" w:hanging="284"/>
        <w:jc w:val="left"/>
        <w:rPr>
          <w:iCs/>
        </w:rPr>
      </w:pPr>
      <w:r w:rsidRPr="008F7933">
        <w:rPr>
          <w:iCs/>
        </w:rPr>
        <w:t>papír a lepenka</w:t>
      </w:r>
      <w:r w:rsidR="00BF67A9">
        <w:rPr>
          <w:iCs/>
        </w:rPr>
        <w:t xml:space="preserve"> - </w:t>
      </w:r>
      <w:r w:rsidRPr="008F7933">
        <w:rPr>
          <w:iCs/>
        </w:rPr>
        <w:t>sběrná nádoba modré barvy,</w:t>
      </w:r>
    </w:p>
    <w:p w14:paraId="4EEF04F9" w14:textId="0E559712" w:rsidR="008F7933" w:rsidRPr="008F7933" w:rsidRDefault="008F7933" w:rsidP="002C7591">
      <w:pPr>
        <w:pStyle w:val="Zkladntext"/>
        <w:numPr>
          <w:ilvl w:val="0"/>
          <w:numId w:val="7"/>
        </w:numPr>
        <w:ind w:left="1134" w:hanging="284"/>
        <w:jc w:val="left"/>
        <w:rPr>
          <w:iCs/>
        </w:rPr>
      </w:pPr>
      <w:r w:rsidRPr="008F7933">
        <w:rPr>
          <w:iCs/>
        </w:rPr>
        <w:t>plasty včetně PET lahví a nápojov</w:t>
      </w:r>
      <w:r w:rsidR="004E532C">
        <w:rPr>
          <w:iCs/>
        </w:rPr>
        <w:t>ých</w:t>
      </w:r>
      <w:r w:rsidRPr="008F7933">
        <w:rPr>
          <w:iCs/>
        </w:rPr>
        <w:t xml:space="preserve"> karton</w:t>
      </w:r>
      <w:r w:rsidR="004E532C">
        <w:rPr>
          <w:iCs/>
        </w:rPr>
        <w:t>ů</w:t>
      </w:r>
      <w:r w:rsidRPr="008F7933">
        <w:rPr>
          <w:iCs/>
        </w:rPr>
        <w:t xml:space="preserve"> - sběrná nádoba žluté barvy a průhledné igelitové pytle,</w:t>
      </w:r>
    </w:p>
    <w:p w14:paraId="429EA078" w14:textId="77777777" w:rsidR="008F7933" w:rsidRPr="008F7933" w:rsidRDefault="008F7933" w:rsidP="002C7591">
      <w:pPr>
        <w:pStyle w:val="Zkladntext"/>
        <w:numPr>
          <w:ilvl w:val="0"/>
          <w:numId w:val="7"/>
        </w:numPr>
        <w:ind w:left="1134" w:hanging="284"/>
        <w:jc w:val="left"/>
        <w:rPr>
          <w:iCs/>
        </w:rPr>
      </w:pPr>
      <w:r w:rsidRPr="008F7933">
        <w:rPr>
          <w:iCs/>
        </w:rPr>
        <w:t>sklo barevné – sběrná nádoba zelené barvy,</w:t>
      </w:r>
    </w:p>
    <w:p w14:paraId="5A7EF788" w14:textId="77777777" w:rsidR="008F7933" w:rsidRPr="008F7933" w:rsidRDefault="008F7933" w:rsidP="002C7591">
      <w:pPr>
        <w:pStyle w:val="Zkladntext"/>
        <w:numPr>
          <w:ilvl w:val="0"/>
          <w:numId w:val="7"/>
        </w:numPr>
        <w:ind w:left="1134" w:hanging="284"/>
        <w:jc w:val="left"/>
        <w:rPr>
          <w:iCs/>
        </w:rPr>
      </w:pPr>
      <w:r w:rsidRPr="008F7933">
        <w:rPr>
          <w:iCs/>
        </w:rPr>
        <w:t>sklo čiré – sběrná nádoba bílé barvy,</w:t>
      </w:r>
    </w:p>
    <w:p w14:paraId="53EAF160" w14:textId="313515FE" w:rsidR="008F7933" w:rsidRPr="008F7933" w:rsidRDefault="008F7933" w:rsidP="002C7591">
      <w:pPr>
        <w:pStyle w:val="Zkladntext"/>
        <w:numPr>
          <w:ilvl w:val="0"/>
          <w:numId w:val="7"/>
        </w:numPr>
        <w:ind w:left="1134" w:hanging="284"/>
        <w:jc w:val="left"/>
        <w:rPr>
          <w:iCs/>
        </w:rPr>
      </w:pPr>
      <w:r w:rsidRPr="008F7933">
        <w:rPr>
          <w:iCs/>
        </w:rPr>
        <w:t>jedlé oleje a tuky – sběrná nádoba černé barvy</w:t>
      </w:r>
      <w:r w:rsidR="00DA2EC4">
        <w:rPr>
          <w:iCs/>
        </w:rPr>
        <w:t xml:space="preserve"> s</w:t>
      </w:r>
      <w:r w:rsidRPr="008F7933">
        <w:rPr>
          <w:iCs/>
        </w:rPr>
        <w:t xml:space="preserve"> nápis</w:t>
      </w:r>
      <w:r w:rsidR="00DA2EC4">
        <w:rPr>
          <w:iCs/>
        </w:rPr>
        <w:t>em</w:t>
      </w:r>
      <w:r w:rsidRPr="008F7933">
        <w:rPr>
          <w:iCs/>
        </w:rPr>
        <w:t xml:space="preserve"> „</w:t>
      </w:r>
      <w:r w:rsidR="00DA2EC4">
        <w:rPr>
          <w:iCs/>
        </w:rPr>
        <w:t>jedlé tuky a oleje</w:t>
      </w:r>
      <w:r w:rsidRPr="008F7933">
        <w:rPr>
          <w:iCs/>
        </w:rPr>
        <w:t xml:space="preserve">“, </w:t>
      </w:r>
    </w:p>
    <w:p w14:paraId="773AC8F6" w14:textId="3F877671" w:rsidR="008F7933" w:rsidRDefault="00DA2EC4" w:rsidP="00B91C2D">
      <w:pPr>
        <w:pStyle w:val="Zkladntext"/>
        <w:numPr>
          <w:ilvl w:val="0"/>
          <w:numId w:val="7"/>
        </w:numPr>
        <w:ind w:left="1134" w:hanging="283"/>
        <w:jc w:val="left"/>
        <w:rPr>
          <w:iCs/>
        </w:rPr>
      </w:pPr>
      <w:r>
        <w:rPr>
          <w:iCs/>
        </w:rPr>
        <w:t xml:space="preserve">drobný </w:t>
      </w:r>
      <w:r w:rsidR="008F7933" w:rsidRPr="008F7933">
        <w:rPr>
          <w:iCs/>
        </w:rPr>
        <w:t>kov</w:t>
      </w:r>
      <w:r>
        <w:rPr>
          <w:iCs/>
        </w:rPr>
        <w:t>ový odpad</w:t>
      </w:r>
      <w:r w:rsidR="008F7933" w:rsidRPr="008F7933">
        <w:rPr>
          <w:iCs/>
        </w:rPr>
        <w:t xml:space="preserve"> – </w:t>
      </w:r>
      <w:r w:rsidR="00DA3E74">
        <w:rPr>
          <w:iCs/>
        </w:rPr>
        <w:t>sběrná nádoba šedé barvy s</w:t>
      </w:r>
      <w:r w:rsidR="008F7933" w:rsidRPr="008F7933">
        <w:rPr>
          <w:iCs/>
        </w:rPr>
        <w:t xml:space="preserve"> nápisem „</w:t>
      </w:r>
      <w:r w:rsidR="00DA3E74">
        <w:rPr>
          <w:iCs/>
        </w:rPr>
        <w:t>kovové odpady</w:t>
      </w:r>
      <w:r w:rsidR="008F7933" w:rsidRPr="008F7933">
        <w:rPr>
          <w:iCs/>
        </w:rPr>
        <w:t>“</w:t>
      </w:r>
    </w:p>
    <w:p w14:paraId="6AE78A5D" w14:textId="203067B3" w:rsidR="00DA2EC4" w:rsidRDefault="00DA2EC4" w:rsidP="00B91C2D">
      <w:pPr>
        <w:pStyle w:val="Zkladntext"/>
        <w:numPr>
          <w:ilvl w:val="0"/>
          <w:numId w:val="7"/>
        </w:numPr>
        <w:ind w:left="1134" w:hanging="283"/>
        <w:jc w:val="left"/>
        <w:rPr>
          <w:iCs/>
        </w:rPr>
      </w:pPr>
      <w:r>
        <w:rPr>
          <w:iCs/>
        </w:rPr>
        <w:t>kov – velkoobjemový kontejner označený nápisem „kovy“ nebo „kovový šrot“</w:t>
      </w:r>
    </w:p>
    <w:p w14:paraId="6E79CFD3" w14:textId="77777777" w:rsidR="00913B33" w:rsidRPr="008F7933" w:rsidRDefault="00913B33" w:rsidP="00913B33">
      <w:pPr>
        <w:pStyle w:val="Zkladntext"/>
        <w:ind w:left="928"/>
        <w:jc w:val="left"/>
        <w:rPr>
          <w:iCs/>
        </w:rPr>
      </w:pPr>
    </w:p>
    <w:p w14:paraId="14D50248" w14:textId="77777777" w:rsidR="00DA2EC4" w:rsidRPr="008F7933" w:rsidRDefault="00DA2EC4" w:rsidP="00DA2EC4">
      <w:pPr>
        <w:pStyle w:val="Zkladntext"/>
        <w:numPr>
          <w:ilvl w:val="0"/>
          <w:numId w:val="5"/>
        </w:numPr>
        <w:ind w:left="284" w:hanging="284"/>
        <w:rPr>
          <w:bCs/>
        </w:rPr>
      </w:pPr>
      <w:r w:rsidRPr="008F7933">
        <w:t>Do zvláštních sběrných nádob je zakázáno ukládat jiné složky komunálních odpadů, než pro které jsou určeny.</w:t>
      </w:r>
    </w:p>
    <w:p w14:paraId="53879E69" w14:textId="77777777" w:rsidR="00DA2EC4" w:rsidRPr="00DA2EC4" w:rsidRDefault="00DA2EC4" w:rsidP="00DA2EC4">
      <w:pPr>
        <w:pStyle w:val="Zkladntext"/>
        <w:ind w:left="284"/>
        <w:rPr>
          <w:iCs/>
        </w:rPr>
      </w:pPr>
    </w:p>
    <w:p w14:paraId="253C8473" w14:textId="2620CDE5" w:rsidR="008F7933" w:rsidRPr="00820777" w:rsidRDefault="008F7933" w:rsidP="00DA2EC4">
      <w:pPr>
        <w:pStyle w:val="Zkladntext"/>
        <w:numPr>
          <w:ilvl w:val="0"/>
          <w:numId w:val="5"/>
        </w:numPr>
        <w:ind w:left="284" w:hanging="284"/>
        <w:rPr>
          <w:iCs/>
        </w:rPr>
      </w:pPr>
      <w:r w:rsidRPr="008F7933">
        <w:t>Zvláštní sběrné nádoby je povinnost plnit tak, aby je bylo možno uzavřít a odpad z</w:t>
      </w:r>
      <w:r w:rsidR="0053024F">
        <w:t> </w:t>
      </w:r>
      <w:r w:rsidRPr="008F7933">
        <w:t>nich</w:t>
      </w:r>
      <w:r w:rsidR="0053024F">
        <w:t xml:space="preserve"> </w:t>
      </w:r>
      <w:r w:rsidRPr="008F7933">
        <w:t xml:space="preserve">při manipulaci nevypadával. Pokud to umožňuje povaha odpadu, je nutno objem odpadu před jeho odložením do sběrné nádoby minimalizovat. </w:t>
      </w:r>
    </w:p>
    <w:p w14:paraId="4CA87218" w14:textId="77777777" w:rsidR="00820777" w:rsidRDefault="00820777" w:rsidP="00820777">
      <w:pPr>
        <w:pStyle w:val="Odstavecseseznamem"/>
        <w:rPr>
          <w:iCs/>
        </w:rPr>
      </w:pPr>
    </w:p>
    <w:p w14:paraId="284E7A5C" w14:textId="136E29DD" w:rsidR="008F7933" w:rsidRPr="008F7933" w:rsidRDefault="008F7933" w:rsidP="00913B33">
      <w:pPr>
        <w:pStyle w:val="Zkladntext"/>
        <w:jc w:val="center"/>
        <w:rPr>
          <w:b/>
          <w:bCs/>
        </w:rPr>
      </w:pPr>
      <w:r w:rsidRPr="008F7933">
        <w:rPr>
          <w:b/>
          <w:bCs/>
        </w:rPr>
        <w:lastRenderedPageBreak/>
        <w:t>Čl. 4</w:t>
      </w:r>
    </w:p>
    <w:p w14:paraId="65B8E992" w14:textId="77777777" w:rsidR="008F7933" w:rsidRPr="008F7933" w:rsidRDefault="008F7933" w:rsidP="00913B33">
      <w:pPr>
        <w:pStyle w:val="Zkladntext"/>
        <w:jc w:val="center"/>
        <w:rPr>
          <w:b/>
          <w:bCs/>
        </w:rPr>
      </w:pPr>
      <w:r w:rsidRPr="008F7933">
        <w:rPr>
          <w:b/>
          <w:bCs/>
        </w:rPr>
        <w:t>Svoz nebezpečných složek komunálního odpadu</w:t>
      </w:r>
    </w:p>
    <w:p w14:paraId="01E57131" w14:textId="77777777" w:rsidR="008F7933" w:rsidRPr="008F7933" w:rsidRDefault="008F7933" w:rsidP="008F7933">
      <w:pPr>
        <w:pStyle w:val="Zkladntext"/>
        <w:jc w:val="left"/>
        <w:rPr>
          <w:b/>
          <w:bCs/>
        </w:rPr>
      </w:pPr>
    </w:p>
    <w:p w14:paraId="5A340E89" w14:textId="1625B61A" w:rsidR="008F7933" w:rsidRDefault="008F7933" w:rsidP="00DA2EC4">
      <w:pPr>
        <w:pStyle w:val="Zkladntext"/>
        <w:numPr>
          <w:ilvl w:val="0"/>
          <w:numId w:val="8"/>
        </w:numPr>
        <w:ind w:left="284" w:hanging="284"/>
      </w:pPr>
      <w:r w:rsidRPr="008F7933">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na internet</w:t>
      </w:r>
      <w:r w:rsidR="00DA2EC4">
        <w:t xml:space="preserve">ových stránkách </w:t>
      </w:r>
      <w:r w:rsidR="00A2670F">
        <w:t>městyse</w:t>
      </w:r>
      <w:r w:rsidRPr="008F7933">
        <w:t xml:space="preserve"> a </w:t>
      </w:r>
      <w:r w:rsidR="00DA2EC4">
        <w:t>vyhlašováním místním rozhlasem</w:t>
      </w:r>
      <w:r w:rsidRPr="008F7933">
        <w:t xml:space="preserve">. </w:t>
      </w:r>
    </w:p>
    <w:p w14:paraId="7B6448C0" w14:textId="77777777" w:rsidR="00913B33" w:rsidRPr="008F7933" w:rsidRDefault="00913B33" w:rsidP="00DA2EC4">
      <w:pPr>
        <w:pStyle w:val="Zkladntext"/>
        <w:ind w:left="284"/>
      </w:pPr>
    </w:p>
    <w:p w14:paraId="1A1E7E48" w14:textId="461B8BC6" w:rsidR="008F7933" w:rsidRPr="008F7933" w:rsidRDefault="008F7933" w:rsidP="00DA2EC4">
      <w:pPr>
        <w:pStyle w:val="Zkladntext"/>
        <w:numPr>
          <w:ilvl w:val="0"/>
          <w:numId w:val="8"/>
        </w:numPr>
        <w:ind w:left="284" w:hanging="284"/>
      </w:pPr>
      <w:r w:rsidRPr="008F7933">
        <w:t xml:space="preserve">Soustřeďování nebezpečných složek komunálního odpadu podléhá požadavkům stanoveným v čl. 3 odst. </w:t>
      </w:r>
      <w:r w:rsidR="00DA3E74">
        <w:t>5</w:t>
      </w:r>
      <w:r w:rsidRPr="008F7933">
        <w:t xml:space="preserve"> a </w:t>
      </w:r>
      <w:r w:rsidR="00DA3E74">
        <w:t>6</w:t>
      </w:r>
      <w:r w:rsidRPr="008F7933">
        <w:t>.</w:t>
      </w:r>
    </w:p>
    <w:p w14:paraId="795FEAEC" w14:textId="5147F42C" w:rsidR="008F7933" w:rsidRPr="008F7933" w:rsidRDefault="008F7933" w:rsidP="00DA2EC4">
      <w:pPr>
        <w:pStyle w:val="Zkladntext"/>
      </w:pPr>
    </w:p>
    <w:p w14:paraId="6FC45020" w14:textId="77777777" w:rsidR="008F7933" w:rsidRPr="008F7933" w:rsidRDefault="008F7933" w:rsidP="00913B33">
      <w:pPr>
        <w:pStyle w:val="Zkladntext"/>
        <w:jc w:val="center"/>
        <w:rPr>
          <w:b/>
          <w:bCs/>
        </w:rPr>
      </w:pPr>
      <w:r w:rsidRPr="008F7933">
        <w:rPr>
          <w:b/>
          <w:bCs/>
        </w:rPr>
        <w:t>Čl. 5</w:t>
      </w:r>
    </w:p>
    <w:p w14:paraId="5942C725" w14:textId="77777777" w:rsidR="008F7933" w:rsidRPr="008F7933" w:rsidRDefault="008F7933" w:rsidP="00913B33">
      <w:pPr>
        <w:pStyle w:val="Zkladntext"/>
        <w:jc w:val="center"/>
        <w:rPr>
          <w:b/>
          <w:bCs/>
        </w:rPr>
      </w:pPr>
      <w:r w:rsidRPr="008F7933">
        <w:rPr>
          <w:b/>
          <w:bCs/>
        </w:rPr>
        <w:t>Svoz objemného odpadu</w:t>
      </w:r>
    </w:p>
    <w:p w14:paraId="71DEC974" w14:textId="77777777" w:rsidR="008F7933" w:rsidRPr="008F7933" w:rsidRDefault="008F7933" w:rsidP="008F7933">
      <w:pPr>
        <w:pStyle w:val="Zkladntext"/>
        <w:jc w:val="left"/>
        <w:rPr>
          <w:b/>
          <w:bCs/>
        </w:rPr>
      </w:pPr>
    </w:p>
    <w:p w14:paraId="15E469EA" w14:textId="274B929E" w:rsidR="00913B33" w:rsidRDefault="008F7933" w:rsidP="005625F7">
      <w:pPr>
        <w:pStyle w:val="Zkladntext"/>
        <w:numPr>
          <w:ilvl w:val="0"/>
          <w:numId w:val="9"/>
        </w:numPr>
        <w:ind w:left="284" w:hanging="284"/>
      </w:pPr>
      <w:r w:rsidRPr="008F7933">
        <w:t xml:space="preserve">Svoz objemného odpadu je zajišťován dvakrát ročně jejich odebíráním na předem vyhlášených přechodných stanovištích přímo do zvláštních sběrných nádob k tomuto sběru určených. Informace o svozu jsou zveřejňovány na úřední desce, </w:t>
      </w:r>
      <w:r w:rsidR="00DA2EC4" w:rsidRPr="008F7933">
        <w:t>na internet</w:t>
      </w:r>
      <w:r w:rsidR="00DA2EC4">
        <w:t xml:space="preserve">ových stránkách </w:t>
      </w:r>
      <w:r w:rsidR="00A2670F">
        <w:t>městyse</w:t>
      </w:r>
      <w:r w:rsidR="00DA2EC4" w:rsidRPr="008F7933">
        <w:t xml:space="preserve"> a </w:t>
      </w:r>
      <w:r w:rsidR="00DA2EC4">
        <w:t>vyhlašováním místním rozhlasem</w:t>
      </w:r>
      <w:r w:rsidR="00DA2EC4" w:rsidRPr="008F7933">
        <w:t>.</w:t>
      </w:r>
    </w:p>
    <w:p w14:paraId="39108381" w14:textId="77777777" w:rsidR="00DA2EC4" w:rsidRPr="008F7933" w:rsidRDefault="00DA2EC4" w:rsidP="00DA2EC4">
      <w:pPr>
        <w:pStyle w:val="Zkladntext"/>
        <w:ind w:left="284"/>
      </w:pPr>
    </w:p>
    <w:p w14:paraId="4FF518D1" w14:textId="208FC9FA" w:rsidR="008F7933" w:rsidRPr="008F7933" w:rsidRDefault="008F7933" w:rsidP="00DA2EC4">
      <w:pPr>
        <w:pStyle w:val="Zkladntext"/>
        <w:numPr>
          <w:ilvl w:val="0"/>
          <w:numId w:val="9"/>
        </w:numPr>
        <w:ind w:left="284" w:hanging="284"/>
      </w:pPr>
      <w:r w:rsidRPr="008F7933">
        <w:t xml:space="preserve">Soustřeďování </w:t>
      </w:r>
      <w:r w:rsidR="00BF67A9">
        <w:t>objemného</w:t>
      </w:r>
      <w:r w:rsidRPr="008F7933">
        <w:t xml:space="preserve"> odpadu podléhá požadavkům stanoveným v čl. 3 odst. </w:t>
      </w:r>
      <w:r w:rsidR="00DA3E74">
        <w:t>5</w:t>
      </w:r>
      <w:r w:rsidRPr="008F7933">
        <w:t xml:space="preserve"> a </w:t>
      </w:r>
      <w:r w:rsidR="00DA3E74">
        <w:t>6</w:t>
      </w:r>
      <w:r w:rsidRPr="008F7933">
        <w:t>.</w:t>
      </w:r>
    </w:p>
    <w:p w14:paraId="667F4B4E" w14:textId="77777777" w:rsidR="008F7933" w:rsidRPr="008F7933" w:rsidRDefault="008F7933" w:rsidP="008F7933">
      <w:pPr>
        <w:pStyle w:val="Zkladntext"/>
        <w:jc w:val="left"/>
      </w:pPr>
    </w:p>
    <w:p w14:paraId="3C78DE3B" w14:textId="77777777" w:rsidR="008F7933" w:rsidRPr="008F7933" w:rsidRDefault="008F7933" w:rsidP="00913B33">
      <w:pPr>
        <w:pStyle w:val="Zkladntext"/>
        <w:jc w:val="center"/>
        <w:rPr>
          <w:b/>
          <w:bCs/>
        </w:rPr>
      </w:pPr>
      <w:r w:rsidRPr="008F7933">
        <w:rPr>
          <w:b/>
          <w:bCs/>
        </w:rPr>
        <w:t>Čl. 6</w:t>
      </w:r>
    </w:p>
    <w:p w14:paraId="03F250AF" w14:textId="77777777" w:rsidR="008F7933" w:rsidRPr="008F7933" w:rsidRDefault="008F7933" w:rsidP="00913B33">
      <w:pPr>
        <w:pStyle w:val="Zkladntext"/>
        <w:jc w:val="center"/>
        <w:rPr>
          <w:b/>
          <w:bCs/>
        </w:rPr>
      </w:pPr>
      <w:r w:rsidRPr="008F7933">
        <w:rPr>
          <w:b/>
          <w:bCs/>
        </w:rPr>
        <w:t>Soustřeďování směsného komunálního odpadu</w:t>
      </w:r>
    </w:p>
    <w:p w14:paraId="020DF57C" w14:textId="77777777" w:rsidR="008F7933" w:rsidRPr="008F7933" w:rsidRDefault="008F7933" w:rsidP="008F7933">
      <w:pPr>
        <w:pStyle w:val="Zkladntext"/>
        <w:jc w:val="left"/>
        <w:rPr>
          <w:b/>
          <w:bCs/>
        </w:rPr>
      </w:pPr>
    </w:p>
    <w:p w14:paraId="6C8F5A74" w14:textId="77777777" w:rsidR="008F7933" w:rsidRPr="008F7933" w:rsidRDefault="008F7933" w:rsidP="00BF67A9">
      <w:pPr>
        <w:pStyle w:val="Zkladntext"/>
        <w:numPr>
          <w:ilvl w:val="0"/>
          <w:numId w:val="10"/>
        </w:numPr>
        <w:ind w:left="284" w:hanging="284"/>
        <w:rPr>
          <w:i/>
          <w:iCs/>
        </w:rPr>
      </w:pPr>
      <w:r w:rsidRPr="008F7933">
        <w:t xml:space="preserve">Směsný komunální odpad se odkládá do sběrných nádob. Pro účely této vyhlášky se sběrnými nádobami rozumějí: </w:t>
      </w:r>
    </w:p>
    <w:p w14:paraId="528E0E20" w14:textId="77777777" w:rsidR="008F7933" w:rsidRPr="008F7933" w:rsidRDefault="008F7933" w:rsidP="00BF67A9">
      <w:pPr>
        <w:pStyle w:val="Zkladntext"/>
        <w:numPr>
          <w:ilvl w:val="0"/>
          <w:numId w:val="11"/>
        </w:numPr>
        <w:tabs>
          <w:tab w:val="clear" w:pos="360"/>
        </w:tabs>
        <w:ind w:left="1134" w:hanging="283"/>
      </w:pPr>
      <w:r w:rsidRPr="008F7933">
        <w:rPr>
          <w:i/>
          <w:iCs/>
        </w:rPr>
        <w:t xml:space="preserve"> </w:t>
      </w:r>
      <w:r w:rsidRPr="008F7933">
        <w:rPr>
          <w:bCs/>
        </w:rPr>
        <w:t>popelnice</w:t>
      </w:r>
    </w:p>
    <w:p w14:paraId="2EC0C774" w14:textId="77777777" w:rsidR="008F7933" w:rsidRPr="008F7933" w:rsidRDefault="008F7933" w:rsidP="00BF67A9">
      <w:pPr>
        <w:pStyle w:val="Zkladntext"/>
        <w:numPr>
          <w:ilvl w:val="0"/>
          <w:numId w:val="11"/>
        </w:numPr>
        <w:tabs>
          <w:tab w:val="clear" w:pos="360"/>
        </w:tabs>
        <w:ind w:left="1134" w:hanging="283"/>
        <w:rPr>
          <w:bCs/>
        </w:rPr>
      </w:pPr>
      <w:r w:rsidRPr="008F7933">
        <w:rPr>
          <w:bCs/>
        </w:rPr>
        <w:t xml:space="preserve"> kontejnery černé barvy</w:t>
      </w:r>
    </w:p>
    <w:p w14:paraId="34B08136" w14:textId="001282C4" w:rsidR="008F7933" w:rsidRPr="008F7933" w:rsidRDefault="008F7933" w:rsidP="00BF67A9">
      <w:pPr>
        <w:pStyle w:val="Zkladntext"/>
        <w:numPr>
          <w:ilvl w:val="0"/>
          <w:numId w:val="11"/>
        </w:numPr>
        <w:tabs>
          <w:tab w:val="clear" w:pos="360"/>
        </w:tabs>
        <w:ind w:left="1134" w:hanging="283"/>
        <w:rPr>
          <w:bCs/>
        </w:rPr>
      </w:pPr>
      <w:r w:rsidRPr="008F7933">
        <w:rPr>
          <w:bCs/>
        </w:rPr>
        <w:t xml:space="preserve"> odpadkové koše, které jsou umístěny na veřejných prostranstvích v </w:t>
      </w:r>
      <w:r w:rsidR="00A2670F">
        <w:rPr>
          <w:bCs/>
        </w:rPr>
        <w:t>městysi</w:t>
      </w:r>
      <w:r w:rsidRPr="008F7933">
        <w:rPr>
          <w:bCs/>
        </w:rPr>
        <w:t>,</w:t>
      </w:r>
      <w:r w:rsidR="00BF67A9">
        <w:rPr>
          <w:bCs/>
        </w:rPr>
        <w:t xml:space="preserve"> </w:t>
      </w:r>
      <w:r w:rsidRPr="008F7933">
        <w:rPr>
          <w:bCs/>
        </w:rPr>
        <w:t>sloužící pro odkládání drobného směsného komunálního odpadu.</w:t>
      </w:r>
    </w:p>
    <w:p w14:paraId="7259C6D0" w14:textId="77777777" w:rsidR="008F7933" w:rsidRPr="008F7933" w:rsidRDefault="008F7933" w:rsidP="00BF67A9">
      <w:pPr>
        <w:pStyle w:val="Zkladntext"/>
      </w:pPr>
    </w:p>
    <w:p w14:paraId="792CFD5D" w14:textId="3FDE8B54" w:rsidR="008F7933" w:rsidRPr="008F7933" w:rsidRDefault="008F7933" w:rsidP="00BF67A9">
      <w:pPr>
        <w:pStyle w:val="Zkladntext"/>
        <w:numPr>
          <w:ilvl w:val="0"/>
          <w:numId w:val="10"/>
        </w:numPr>
        <w:ind w:left="284" w:hanging="284"/>
      </w:pPr>
      <w:r w:rsidRPr="008F7933">
        <w:t xml:space="preserve">Soustřeďování </w:t>
      </w:r>
      <w:r w:rsidR="00BF67A9">
        <w:t xml:space="preserve">směsného </w:t>
      </w:r>
      <w:r w:rsidRPr="008F7933">
        <w:t xml:space="preserve">komunálního odpadu podléhá požadavkům stanoveným v čl. 3 odst. </w:t>
      </w:r>
      <w:r w:rsidR="00DA3E74">
        <w:t>5</w:t>
      </w:r>
      <w:r w:rsidRPr="008F7933">
        <w:t xml:space="preserve"> a </w:t>
      </w:r>
      <w:r w:rsidR="00DA3E74">
        <w:t>6</w:t>
      </w:r>
      <w:r w:rsidRPr="008F7933">
        <w:t>.</w:t>
      </w:r>
    </w:p>
    <w:p w14:paraId="1140B748" w14:textId="77777777" w:rsidR="008F7933" w:rsidRPr="008F7933" w:rsidRDefault="008F7933" w:rsidP="008F7933">
      <w:pPr>
        <w:pStyle w:val="Zkladntext"/>
      </w:pPr>
    </w:p>
    <w:p w14:paraId="7AC3FF72" w14:textId="6E711219" w:rsidR="008F7933" w:rsidRPr="00A2670F" w:rsidRDefault="008F7933" w:rsidP="00913B33">
      <w:pPr>
        <w:pStyle w:val="Zkladntext"/>
        <w:jc w:val="center"/>
        <w:rPr>
          <w:b/>
          <w:bCs/>
        </w:rPr>
      </w:pPr>
      <w:r w:rsidRPr="00A2670F">
        <w:rPr>
          <w:b/>
          <w:bCs/>
        </w:rPr>
        <w:t xml:space="preserve">Čl. </w:t>
      </w:r>
      <w:r w:rsidR="00E10844">
        <w:rPr>
          <w:b/>
          <w:bCs/>
        </w:rPr>
        <w:t>7</w:t>
      </w:r>
    </w:p>
    <w:p w14:paraId="4C2BC4C1" w14:textId="77777777" w:rsidR="008F7933" w:rsidRPr="00A2670F" w:rsidRDefault="008F7933" w:rsidP="00913B33">
      <w:pPr>
        <w:pStyle w:val="Zkladntext"/>
        <w:jc w:val="center"/>
        <w:rPr>
          <w:b/>
          <w:bCs/>
        </w:rPr>
      </w:pPr>
      <w:r w:rsidRPr="00A2670F">
        <w:rPr>
          <w:b/>
          <w:bCs/>
        </w:rPr>
        <w:t>Nakládání se stavebním a demoličním odpadem</w:t>
      </w:r>
    </w:p>
    <w:p w14:paraId="46280232" w14:textId="77777777" w:rsidR="008F7933" w:rsidRPr="00A2670F" w:rsidRDefault="008F7933" w:rsidP="008F7933">
      <w:pPr>
        <w:pStyle w:val="Zkladntext"/>
        <w:rPr>
          <w:i/>
          <w:iCs/>
        </w:rPr>
      </w:pPr>
    </w:p>
    <w:p w14:paraId="07E90917" w14:textId="77777777" w:rsidR="008F7933" w:rsidRPr="00A2670F" w:rsidRDefault="008F7933" w:rsidP="00537AF7">
      <w:pPr>
        <w:pStyle w:val="Zkladntext"/>
        <w:numPr>
          <w:ilvl w:val="0"/>
          <w:numId w:val="23"/>
        </w:numPr>
        <w:ind w:left="284" w:hanging="284"/>
      </w:pPr>
      <w:r w:rsidRPr="00A2670F">
        <w:t xml:space="preserve">Stavebním odpadem a demoličním odpadem se rozumí odpad vznikající při stavebních a demoličních činnostech nepodnikajících fyzických osob. Stavební a demoliční odpad není odpadem komunálním. </w:t>
      </w:r>
    </w:p>
    <w:p w14:paraId="120E716E" w14:textId="77777777" w:rsidR="008F7933" w:rsidRPr="00A2670F" w:rsidRDefault="008F7933" w:rsidP="00537AF7">
      <w:pPr>
        <w:pStyle w:val="Zkladntext"/>
        <w:ind w:left="284" w:hanging="284"/>
      </w:pPr>
    </w:p>
    <w:p w14:paraId="50A1F138" w14:textId="07F8065E" w:rsidR="00537AF7" w:rsidRPr="00A2670F" w:rsidRDefault="008F7933" w:rsidP="0098487E">
      <w:pPr>
        <w:pStyle w:val="Zkladntext"/>
        <w:numPr>
          <w:ilvl w:val="0"/>
          <w:numId w:val="23"/>
        </w:numPr>
        <w:ind w:left="284" w:hanging="284"/>
      </w:pPr>
      <w:r w:rsidRPr="00A2670F">
        <w:t xml:space="preserve">Stavební </w:t>
      </w:r>
      <w:r w:rsidR="00537AF7" w:rsidRPr="00A2670F">
        <w:t xml:space="preserve">a demoliční </w:t>
      </w:r>
      <w:r w:rsidRPr="00A2670F">
        <w:t xml:space="preserve">odpad lze </w:t>
      </w:r>
      <w:r w:rsidR="00537AF7" w:rsidRPr="00A2670F">
        <w:t xml:space="preserve">předávat v lomu Meráno v provozní době, která je uvedena na internetových stránkách </w:t>
      </w:r>
      <w:r w:rsidR="00A2670F" w:rsidRPr="00A2670F">
        <w:t>městyse</w:t>
      </w:r>
      <w:r w:rsidR="00537AF7" w:rsidRPr="00A2670F">
        <w:t xml:space="preserve">. </w:t>
      </w:r>
    </w:p>
    <w:p w14:paraId="54E707DD" w14:textId="77777777" w:rsidR="00537AF7" w:rsidRPr="00A2670F" w:rsidRDefault="00537AF7" w:rsidP="00537AF7">
      <w:pPr>
        <w:pStyle w:val="Zkladntext"/>
      </w:pPr>
    </w:p>
    <w:p w14:paraId="6E25157D" w14:textId="15405835" w:rsidR="008F7933" w:rsidRDefault="00537AF7" w:rsidP="00537AF7">
      <w:pPr>
        <w:pStyle w:val="Zkladntext"/>
        <w:numPr>
          <w:ilvl w:val="0"/>
          <w:numId w:val="23"/>
        </w:numPr>
        <w:ind w:left="284" w:hanging="284"/>
      </w:pPr>
      <w:r w:rsidRPr="00A2670F">
        <w:t xml:space="preserve">Předání stavebního a demoličního odpadu je zpoplatněno dle aktuálního ceníku uvedeného na internetových stránkách </w:t>
      </w:r>
      <w:r w:rsidR="00A2670F" w:rsidRPr="00A2670F">
        <w:t>městyse</w:t>
      </w:r>
      <w:r w:rsidR="008F7933" w:rsidRPr="00A2670F">
        <w:t xml:space="preserve">. </w:t>
      </w:r>
    </w:p>
    <w:p w14:paraId="1721A1C3" w14:textId="77777777" w:rsidR="00E10844" w:rsidRPr="00A2670F" w:rsidRDefault="00E10844" w:rsidP="00E10844">
      <w:pPr>
        <w:pStyle w:val="Zkladntext"/>
        <w:ind w:left="284"/>
      </w:pPr>
    </w:p>
    <w:p w14:paraId="26FEC878" w14:textId="3C99E309" w:rsidR="00A2670F" w:rsidRPr="00E10844" w:rsidRDefault="00A2670F" w:rsidP="00E10844">
      <w:pPr>
        <w:pStyle w:val="Zkladntext"/>
        <w:jc w:val="center"/>
        <w:rPr>
          <w:b/>
          <w:bCs/>
        </w:rPr>
      </w:pPr>
      <w:r w:rsidRPr="00E10844">
        <w:rPr>
          <w:b/>
          <w:bCs/>
        </w:rPr>
        <w:t xml:space="preserve">Čl. </w:t>
      </w:r>
      <w:r w:rsidR="00E10844" w:rsidRPr="00E10844">
        <w:rPr>
          <w:b/>
          <w:bCs/>
        </w:rPr>
        <w:t>8</w:t>
      </w:r>
    </w:p>
    <w:p w14:paraId="175D6515" w14:textId="4D7B6938" w:rsidR="00A2670F" w:rsidRPr="00E10844" w:rsidRDefault="00A2670F" w:rsidP="00E10844">
      <w:pPr>
        <w:pStyle w:val="Zkladntext"/>
        <w:jc w:val="center"/>
        <w:rPr>
          <w:b/>
          <w:bCs/>
        </w:rPr>
      </w:pPr>
      <w:r w:rsidRPr="00E10844">
        <w:rPr>
          <w:b/>
          <w:bCs/>
        </w:rPr>
        <w:t>Zrušovací ustanovení</w:t>
      </w:r>
    </w:p>
    <w:p w14:paraId="05B5706D" w14:textId="77777777" w:rsidR="00A2670F" w:rsidRPr="008F7933" w:rsidRDefault="00A2670F" w:rsidP="00A2670F">
      <w:pPr>
        <w:pStyle w:val="Zkladntext"/>
        <w:ind w:left="644"/>
        <w:jc w:val="center"/>
        <w:rPr>
          <w:b/>
          <w:bCs/>
        </w:rPr>
      </w:pPr>
    </w:p>
    <w:p w14:paraId="27893687" w14:textId="270F73AA" w:rsidR="00C863C5" w:rsidRPr="00E10844" w:rsidRDefault="00A2670F" w:rsidP="00A2670F">
      <w:pPr>
        <w:pStyle w:val="Zkladntext"/>
      </w:pPr>
      <w:r w:rsidRPr="00E10844">
        <w:t>Zrušuje se obecně závazná vyhláška č. 1/2025 ze dne 17. 02. 2025 o stanovení obecního systému odpadového hospodaření.</w:t>
      </w:r>
    </w:p>
    <w:p w14:paraId="18921399" w14:textId="77777777" w:rsidR="00A2670F" w:rsidRPr="00E10844" w:rsidRDefault="00A2670F" w:rsidP="00A2670F">
      <w:pPr>
        <w:pStyle w:val="Zkladntext"/>
      </w:pPr>
    </w:p>
    <w:p w14:paraId="1330BB82" w14:textId="77777777" w:rsidR="00A2670F" w:rsidRPr="00A2670F" w:rsidRDefault="00A2670F" w:rsidP="00A2670F">
      <w:pPr>
        <w:pStyle w:val="Zkladntext"/>
      </w:pPr>
    </w:p>
    <w:p w14:paraId="021F5A91" w14:textId="1E5F1674" w:rsidR="00C863C5" w:rsidRPr="008F7933" w:rsidRDefault="00C863C5" w:rsidP="00C863C5">
      <w:pPr>
        <w:pStyle w:val="Zkladntext"/>
        <w:jc w:val="center"/>
        <w:rPr>
          <w:b/>
          <w:bCs/>
        </w:rPr>
      </w:pPr>
      <w:r w:rsidRPr="008F7933">
        <w:rPr>
          <w:b/>
          <w:bCs/>
        </w:rPr>
        <w:t xml:space="preserve">Čl. </w:t>
      </w:r>
      <w:r w:rsidR="00E10844">
        <w:rPr>
          <w:b/>
          <w:bCs/>
        </w:rPr>
        <w:t>9</w:t>
      </w:r>
    </w:p>
    <w:p w14:paraId="07E22314" w14:textId="77777777" w:rsidR="00C863C5" w:rsidRPr="008F7933" w:rsidRDefault="00C863C5" w:rsidP="00C863C5">
      <w:pPr>
        <w:pStyle w:val="Zkladntext"/>
        <w:jc w:val="center"/>
        <w:rPr>
          <w:b/>
          <w:bCs/>
        </w:rPr>
      </w:pPr>
      <w:r w:rsidRPr="008F7933">
        <w:rPr>
          <w:b/>
          <w:bCs/>
        </w:rPr>
        <w:t>Závěrečná ustanovení</w:t>
      </w:r>
    </w:p>
    <w:p w14:paraId="04EFCF3A" w14:textId="77777777" w:rsidR="00C863C5" w:rsidRPr="008F7933" w:rsidRDefault="00C863C5" w:rsidP="00C863C5">
      <w:pPr>
        <w:pStyle w:val="Zkladntext"/>
        <w:jc w:val="left"/>
        <w:rPr>
          <w:b/>
          <w:bCs/>
        </w:rPr>
      </w:pPr>
    </w:p>
    <w:p w14:paraId="7CB57543" w14:textId="77777777" w:rsidR="003E4D61" w:rsidRPr="00E10844" w:rsidRDefault="003E4D61" w:rsidP="003E4D61">
      <w:pPr>
        <w:pStyle w:val="Zkladntext"/>
      </w:pPr>
      <w:r w:rsidRPr="00E10844">
        <w:t>Tato vyhláška nabývá účinnosti počátkem patnáctého dne následujícího po dni jejího vyhlášení.</w:t>
      </w:r>
    </w:p>
    <w:p w14:paraId="5A366655" w14:textId="77777777" w:rsidR="008F7933" w:rsidRPr="003E4D61" w:rsidRDefault="008F7933" w:rsidP="00D901BE">
      <w:pPr>
        <w:pStyle w:val="Zkladntext"/>
        <w:jc w:val="left"/>
        <w:rPr>
          <w:color w:val="0070C0"/>
        </w:rPr>
      </w:pPr>
    </w:p>
    <w:p w14:paraId="3578232A" w14:textId="77777777" w:rsidR="00D901BE" w:rsidRDefault="00D901BE" w:rsidP="00D901BE">
      <w:pPr>
        <w:pStyle w:val="Zkladntext"/>
        <w:jc w:val="left"/>
      </w:pPr>
    </w:p>
    <w:p w14:paraId="0EEA8815" w14:textId="77777777" w:rsidR="00D901BE" w:rsidRPr="00BA74E4" w:rsidRDefault="00D901BE" w:rsidP="00D901BE">
      <w:pPr>
        <w:pStyle w:val="Zkladntext"/>
        <w:jc w:val="left"/>
      </w:pPr>
    </w:p>
    <w:p w14:paraId="56734021" w14:textId="77777777" w:rsidR="001E05EC" w:rsidRPr="00BA74E4" w:rsidRDefault="001E05EC" w:rsidP="00D11EAA">
      <w:pPr>
        <w:pStyle w:val="Zkladntext"/>
        <w:ind w:left="426"/>
        <w:jc w:val="left"/>
      </w:pPr>
    </w:p>
    <w:tbl>
      <w:tblPr>
        <w:tblW w:w="0" w:type="auto"/>
        <w:tblInd w:w="360" w:type="dxa"/>
        <w:tblLook w:val="04A0" w:firstRow="1" w:lastRow="0" w:firstColumn="1" w:lastColumn="0" w:noHBand="0" w:noVBand="1"/>
      </w:tblPr>
      <w:tblGrid>
        <w:gridCol w:w="4356"/>
        <w:gridCol w:w="4356"/>
      </w:tblGrid>
      <w:tr w:rsidR="001E05EC" w14:paraId="53AB867E" w14:textId="77777777" w:rsidTr="00326CC5">
        <w:tc>
          <w:tcPr>
            <w:tcW w:w="4464" w:type="dxa"/>
            <w:shd w:val="clear" w:color="auto" w:fill="auto"/>
          </w:tcPr>
          <w:p w14:paraId="1E701C2A" w14:textId="77777777" w:rsidR="001E05EC" w:rsidRDefault="001E05EC" w:rsidP="00C810F2">
            <w:pPr>
              <w:pStyle w:val="Zkladntext"/>
              <w:jc w:val="center"/>
            </w:pPr>
            <w:r>
              <w:t>………………………………</w:t>
            </w:r>
          </w:p>
        </w:tc>
        <w:tc>
          <w:tcPr>
            <w:tcW w:w="4464" w:type="dxa"/>
            <w:shd w:val="clear" w:color="auto" w:fill="auto"/>
          </w:tcPr>
          <w:p w14:paraId="4DF5397E" w14:textId="77777777" w:rsidR="001E05EC" w:rsidRDefault="001E05EC" w:rsidP="00C810F2">
            <w:pPr>
              <w:pStyle w:val="Zkladntext"/>
              <w:jc w:val="center"/>
            </w:pPr>
            <w:r>
              <w:t>………………………………</w:t>
            </w:r>
          </w:p>
        </w:tc>
      </w:tr>
      <w:tr w:rsidR="001E05EC" w14:paraId="246A1CCC" w14:textId="77777777" w:rsidTr="00326CC5">
        <w:tc>
          <w:tcPr>
            <w:tcW w:w="4464" w:type="dxa"/>
            <w:shd w:val="clear" w:color="auto" w:fill="auto"/>
          </w:tcPr>
          <w:p w14:paraId="765362F1" w14:textId="77777777" w:rsidR="001E05EC" w:rsidRDefault="001E05EC" w:rsidP="00C810F2">
            <w:pPr>
              <w:pStyle w:val="Zkladntext"/>
              <w:jc w:val="center"/>
            </w:pPr>
            <w:r>
              <w:t>Roman Procházka</w:t>
            </w:r>
            <w:r w:rsidR="00EE5CA1">
              <w:t xml:space="preserve"> v.r.</w:t>
            </w:r>
          </w:p>
          <w:p w14:paraId="7807A937" w14:textId="77777777" w:rsidR="001E05EC" w:rsidRDefault="001E05EC" w:rsidP="00C810F2">
            <w:pPr>
              <w:pStyle w:val="Zkladntext"/>
              <w:jc w:val="center"/>
            </w:pPr>
            <w:r>
              <w:t>místostarosta</w:t>
            </w:r>
          </w:p>
        </w:tc>
        <w:tc>
          <w:tcPr>
            <w:tcW w:w="4464" w:type="dxa"/>
            <w:shd w:val="clear" w:color="auto" w:fill="auto"/>
          </w:tcPr>
          <w:p w14:paraId="58F391F3" w14:textId="77777777" w:rsidR="001E05EC" w:rsidRDefault="001E05EC" w:rsidP="00C810F2">
            <w:pPr>
              <w:pStyle w:val="Zkladntext"/>
              <w:jc w:val="center"/>
            </w:pPr>
            <w:r>
              <w:t>Bc. Hana Krejčová</w:t>
            </w:r>
            <w:r w:rsidR="00EE5CA1">
              <w:t xml:space="preserve"> v.r.</w:t>
            </w:r>
          </w:p>
          <w:p w14:paraId="1332F192" w14:textId="77777777" w:rsidR="001E05EC" w:rsidRDefault="001E05EC" w:rsidP="00C810F2">
            <w:pPr>
              <w:pStyle w:val="Zkladntext"/>
              <w:jc w:val="center"/>
            </w:pPr>
            <w:r>
              <w:t>starostka</w:t>
            </w:r>
          </w:p>
        </w:tc>
      </w:tr>
    </w:tbl>
    <w:p w14:paraId="3A0F4267" w14:textId="77777777" w:rsidR="00D15539" w:rsidRDefault="00D15539" w:rsidP="009C20DF">
      <w:pPr>
        <w:pStyle w:val="Zkladntext"/>
        <w:rPr>
          <w:noProof/>
          <w:color w:val="FF0000"/>
        </w:rPr>
      </w:pPr>
    </w:p>
    <w:p w14:paraId="123B28B5" w14:textId="77777777" w:rsidR="007822D5" w:rsidRDefault="007822D5" w:rsidP="009C20DF">
      <w:pPr>
        <w:pStyle w:val="Zkladntext"/>
        <w:rPr>
          <w:noProof/>
          <w:color w:val="FF0000"/>
        </w:rPr>
        <w:sectPr w:rsidR="007822D5" w:rsidSect="00867243">
          <w:footerReference w:type="default" r:id="rId9"/>
          <w:footerReference w:type="first" r:id="rId10"/>
          <w:pgSz w:w="11906" w:h="16838"/>
          <w:pgMar w:top="993" w:right="1417" w:bottom="1417" w:left="1417" w:header="709" w:footer="708" w:gutter="0"/>
          <w:pgNumType w:start="1"/>
          <w:cols w:space="708"/>
          <w:docGrid w:linePitch="360"/>
        </w:sectPr>
      </w:pPr>
    </w:p>
    <w:p w14:paraId="18E17A47" w14:textId="51BC8048" w:rsidR="007822D5" w:rsidRDefault="00E42B07" w:rsidP="00E42B07">
      <w:pPr>
        <w:pStyle w:val="Zkladntext"/>
        <w:jc w:val="right"/>
        <w:rPr>
          <w:noProof/>
        </w:rPr>
      </w:pPr>
      <w:r>
        <w:rPr>
          <w:noProof/>
        </w:rPr>
        <w:lastRenderedPageBreak/>
        <w:t xml:space="preserve">Příloha k OZV č. </w:t>
      </w:r>
      <w:r w:rsidR="00845A22">
        <w:rPr>
          <w:noProof/>
        </w:rPr>
        <w:t>2</w:t>
      </w:r>
      <w:r>
        <w:rPr>
          <w:noProof/>
        </w:rPr>
        <w:t>/2025</w:t>
      </w:r>
    </w:p>
    <w:p w14:paraId="11FFCCBC" w14:textId="2F0021AA" w:rsidR="00E42B07" w:rsidRPr="00E42B07" w:rsidRDefault="00E42B07" w:rsidP="00E42B07">
      <w:pPr>
        <w:pStyle w:val="Zkladntext"/>
        <w:jc w:val="right"/>
        <w:rPr>
          <w:noProof/>
        </w:rPr>
      </w:pPr>
      <w:r>
        <w:rPr>
          <w:noProof/>
        </w:rPr>
        <w:t>O obecním systému odpadového hospodářství</w:t>
      </w:r>
    </w:p>
    <w:p w14:paraId="72E3A7B7" w14:textId="77777777" w:rsidR="007822D5" w:rsidRDefault="007822D5" w:rsidP="009C20DF">
      <w:pPr>
        <w:pStyle w:val="Zkladntext"/>
        <w:rPr>
          <w:noProof/>
          <w:color w:val="FF0000"/>
        </w:rPr>
      </w:pPr>
    </w:p>
    <w:tbl>
      <w:tblPr>
        <w:tblW w:w="150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973"/>
        <w:gridCol w:w="973"/>
        <w:gridCol w:w="973"/>
        <w:gridCol w:w="974"/>
        <w:gridCol w:w="1112"/>
        <w:gridCol w:w="961"/>
        <w:gridCol w:w="909"/>
        <w:gridCol w:w="998"/>
        <w:gridCol w:w="910"/>
        <w:gridCol w:w="914"/>
        <w:gridCol w:w="1062"/>
      </w:tblGrid>
      <w:tr w:rsidR="00D0328A" w:rsidRPr="00AC6DE1" w14:paraId="1A071E9F" w14:textId="77777777" w:rsidTr="00111C15">
        <w:trPr>
          <w:trHeight w:val="300"/>
        </w:trPr>
        <w:tc>
          <w:tcPr>
            <w:tcW w:w="15013" w:type="dxa"/>
            <w:gridSpan w:val="12"/>
          </w:tcPr>
          <w:p w14:paraId="222C79E7" w14:textId="5FBF4589" w:rsidR="00D0328A" w:rsidRDefault="00D0328A" w:rsidP="004377FC">
            <w:pPr>
              <w:jc w:val="center"/>
              <w:rPr>
                <w:rFonts w:cs="Calibri"/>
                <w:b/>
                <w:bCs/>
                <w:color w:val="000000"/>
              </w:rPr>
            </w:pPr>
          </w:p>
          <w:p w14:paraId="3DB0FA4A" w14:textId="71DA8A0F" w:rsidR="00D0328A" w:rsidRDefault="00D0328A" w:rsidP="004377FC">
            <w:pPr>
              <w:jc w:val="center"/>
              <w:rPr>
                <w:rFonts w:cs="Calibri"/>
                <w:b/>
                <w:bCs/>
                <w:color w:val="000000"/>
              </w:rPr>
            </w:pPr>
            <w:r w:rsidRPr="00AC6DE1">
              <w:rPr>
                <w:rFonts w:cs="Calibri"/>
                <w:b/>
                <w:bCs/>
                <w:color w:val="000000"/>
              </w:rPr>
              <w:t xml:space="preserve">Umístění nádob na </w:t>
            </w:r>
            <w:r>
              <w:rPr>
                <w:rFonts w:cs="Calibri"/>
                <w:b/>
                <w:bCs/>
                <w:color w:val="000000"/>
              </w:rPr>
              <w:t xml:space="preserve">oddělené soustřeďování </w:t>
            </w:r>
            <w:r w:rsidRPr="00AC6DE1">
              <w:rPr>
                <w:rFonts w:cs="Calibri"/>
                <w:b/>
                <w:bCs/>
                <w:color w:val="000000"/>
              </w:rPr>
              <w:t>komunální</w:t>
            </w:r>
            <w:r>
              <w:rPr>
                <w:rFonts w:cs="Calibri"/>
                <w:b/>
                <w:bCs/>
                <w:color w:val="000000"/>
              </w:rPr>
              <w:t>ho</w:t>
            </w:r>
            <w:r w:rsidRPr="00AC6DE1">
              <w:rPr>
                <w:rFonts w:cs="Calibri"/>
                <w:b/>
                <w:bCs/>
                <w:color w:val="000000"/>
              </w:rPr>
              <w:t xml:space="preserve"> odpad</w:t>
            </w:r>
            <w:r>
              <w:rPr>
                <w:rFonts w:cs="Calibri"/>
                <w:b/>
                <w:bCs/>
                <w:color w:val="000000"/>
              </w:rPr>
              <w:t>u</w:t>
            </w:r>
          </w:p>
          <w:p w14:paraId="15A29A53" w14:textId="7DDCFEEB" w:rsidR="00D0328A" w:rsidRPr="00AC6DE1" w:rsidRDefault="00D0328A" w:rsidP="004377FC">
            <w:pPr>
              <w:jc w:val="center"/>
              <w:rPr>
                <w:rFonts w:cs="Calibri"/>
                <w:b/>
                <w:bCs/>
                <w:color w:val="000000"/>
              </w:rPr>
            </w:pPr>
          </w:p>
        </w:tc>
      </w:tr>
      <w:tr w:rsidR="009F0A3C" w:rsidRPr="00AC6DE1" w14:paraId="2C0D02C8" w14:textId="77777777" w:rsidTr="00DA3E74">
        <w:trPr>
          <w:trHeight w:val="930"/>
        </w:trPr>
        <w:tc>
          <w:tcPr>
            <w:tcW w:w="4254" w:type="dxa"/>
            <w:shd w:val="clear" w:color="000000" w:fill="FFFFFF" w:themeFill="background1"/>
            <w:noWrap/>
            <w:vAlign w:val="center"/>
            <w:hideMark/>
          </w:tcPr>
          <w:p w14:paraId="3E956927" w14:textId="7B71019D" w:rsidR="00D0328A" w:rsidRPr="00AC6DE1" w:rsidRDefault="00D0328A" w:rsidP="004377FC">
            <w:pPr>
              <w:jc w:val="center"/>
              <w:rPr>
                <w:rFonts w:cs="Calibri"/>
                <w:b/>
                <w:bCs/>
                <w:color w:val="000000"/>
              </w:rPr>
            </w:pPr>
            <w:r w:rsidRPr="00AC6DE1">
              <w:rPr>
                <w:rFonts w:cs="Calibri"/>
                <w:b/>
                <w:bCs/>
                <w:color w:val="000000"/>
              </w:rPr>
              <w:t>Hn</w:t>
            </w:r>
            <w:r>
              <w:rPr>
                <w:rFonts w:cs="Calibri"/>
                <w:b/>
                <w:bCs/>
                <w:color w:val="000000"/>
              </w:rPr>
              <w:t>ízdo</w:t>
            </w:r>
          </w:p>
        </w:tc>
        <w:tc>
          <w:tcPr>
            <w:tcW w:w="973" w:type="dxa"/>
            <w:shd w:val="clear" w:color="000000" w:fill="B4C6E7" w:themeFill="accent1" w:themeFillTint="66"/>
            <w:noWrap/>
            <w:vAlign w:val="center"/>
            <w:hideMark/>
          </w:tcPr>
          <w:p w14:paraId="04EFCF71" w14:textId="78E63974" w:rsidR="00D0328A" w:rsidRPr="00AC6DE1" w:rsidRDefault="00D0328A" w:rsidP="004377FC">
            <w:pPr>
              <w:jc w:val="center"/>
              <w:rPr>
                <w:rFonts w:cs="Calibri"/>
                <w:b/>
                <w:bCs/>
                <w:color w:val="000000"/>
              </w:rPr>
            </w:pPr>
            <w:r w:rsidRPr="00AC6DE1">
              <w:rPr>
                <w:rFonts w:cs="Calibri"/>
                <w:b/>
                <w:bCs/>
                <w:color w:val="000000"/>
              </w:rPr>
              <w:t>P</w:t>
            </w:r>
            <w:r>
              <w:rPr>
                <w:rFonts w:cs="Calibri"/>
                <w:b/>
                <w:bCs/>
                <w:color w:val="000000"/>
              </w:rPr>
              <w:t>apír</w:t>
            </w:r>
          </w:p>
        </w:tc>
        <w:tc>
          <w:tcPr>
            <w:tcW w:w="973" w:type="dxa"/>
            <w:shd w:val="clear" w:color="000000" w:fill="92D050"/>
            <w:noWrap/>
            <w:vAlign w:val="center"/>
            <w:hideMark/>
          </w:tcPr>
          <w:p w14:paraId="7EF5E675" w14:textId="56108195" w:rsidR="00D0328A" w:rsidRPr="00AC6DE1" w:rsidRDefault="00D0328A" w:rsidP="004377FC">
            <w:pPr>
              <w:jc w:val="center"/>
              <w:rPr>
                <w:rFonts w:cs="Calibri"/>
                <w:b/>
                <w:bCs/>
                <w:color w:val="000000"/>
              </w:rPr>
            </w:pPr>
            <w:r w:rsidRPr="00AC6DE1">
              <w:rPr>
                <w:rFonts w:cs="Calibri"/>
                <w:b/>
                <w:bCs/>
                <w:color w:val="000000"/>
              </w:rPr>
              <w:t>S</w:t>
            </w:r>
            <w:r>
              <w:rPr>
                <w:rFonts w:cs="Calibri"/>
                <w:b/>
                <w:bCs/>
                <w:color w:val="000000"/>
              </w:rPr>
              <w:t>klo barevné</w:t>
            </w:r>
          </w:p>
        </w:tc>
        <w:tc>
          <w:tcPr>
            <w:tcW w:w="973" w:type="dxa"/>
            <w:shd w:val="clear" w:color="000000" w:fill="FFFFFF" w:themeFill="background1"/>
            <w:noWrap/>
            <w:vAlign w:val="center"/>
            <w:hideMark/>
          </w:tcPr>
          <w:p w14:paraId="3A97107D" w14:textId="68466C60" w:rsidR="00D0328A" w:rsidRPr="00AC6DE1" w:rsidRDefault="00D0328A" w:rsidP="004377FC">
            <w:pPr>
              <w:jc w:val="center"/>
              <w:rPr>
                <w:rFonts w:cs="Calibri"/>
                <w:b/>
                <w:bCs/>
                <w:color w:val="000000"/>
              </w:rPr>
            </w:pPr>
            <w:r w:rsidRPr="00AC6DE1">
              <w:rPr>
                <w:rFonts w:cs="Calibri"/>
                <w:b/>
                <w:bCs/>
                <w:color w:val="000000"/>
              </w:rPr>
              <w:t>S</w:t>
            </w:r>
            <w:r>
              <w:rPr>
                <w:rFonts w:cs="Calibri"/>
                <w:b/>
                <w:bCs/>
                <w:color w:val="000000"/>
              </w:rPr>
              <w:t>klo bílé</w:t>
            </w:r>
          </w:p>
        </w:tc>
        <w:tc>
          <w:tcPr>
            <w:tcW w:w="974" w:type="dxa"/>
            <w:shd w:val="clear" w:color="000000" w:fill="F4B083" w:themeFill="accent2" w:themeFillTint="99"/>
            <w:vAlign w:val="center"/>
            <w:hideMark/>
          </w:tcPr>
          <w:p w14:paraId="50605A29" w14:textId="77777777" w:rsidR="00D0328A" w:rsidRPr="00AC6DE1" w:rsidRDefault="00D0328A" w:rsidP="004377FC">
            <w:pPr>
              <w:jc w:val="center"/>
              <w:rPr>
                <w:rFonts w:cs="Calibri"/>
                <w:b/>
                <w:bCs/>
                <w:color w:val="000000"/>
              </w:rPr>
            </w:pPr>
            <w:r w:rsidRPr="00AC6DE1">
              <w:rPr>
                <w:rFonts w:cs="Calibri"/>
                <w:b/>
                <w:bCs/>
                <w:color w:val="000000"/>
              </w:rPr>
              <w:t>Bio</w:t>
            </w:r>
          </w:p>
        </w:tc>
        <w:tc>
          <w:tcPr>
            <w:tcW w:w="1112" w:type="dxa"/>
            <w:shd w:val="clear" w:color="000000" w:fill="FFFFFF" w:themeFill="background1"/>
            <w:vAlign w:val="center"/>
            <w:hideMark/>
          </w:tcPr>
          <w:p w14:paraId="1B6FAD11" w14:textId="7BA80C3B" w:rsidR="00D0328A" w:rsidRPr="00AC6DE1" w:rsidRDefault="00D0328A" w:rsidP="004377FC">
            <w:pPr>
              <w:jc w:val="center"/>
              <w:rPr>
                <w:rFonts w:cs="Calibri"/>
                <w:b/>
                <w:bCs/>
                <w:color w:val="000000"/>
              </w:rPr>
            </w:pPr>
            <w:r>
              <w:rPr>
                <w:rFonts w:cs="Calibri"/>
                <w:b/>
                <w:bCs/>
                <w:color w:val="000000"/>
              </w:rPr>
              <w:t>S</w:t>
            </w:r>
            <w:r w:rsidRPr="00AC6DE1">
              <w:rPr>
                <w:rFonts w:cs="Calibri"/>
                <w:b/>
                <w:bCs/>
                <w:color w:val="000000"/>
              </w:rPr>
              <w:t>měsný odpad</w:t>
            </w:r>
          </w:p>
        </w:tc>
        <w:tc>
          <w:tcPr>
            <w:tcW w:w="961" w:type="dxa"/>
            <w:shd w:val="clear" w:color="000000" w:fill="FFFFFF" w:themeFill="background1"/>
            <w:vAlign w:val="center"/>
            <w:hideMark/>
          </w:tcPr>
          <w:p w14:paraId="264F144F" w14:textId="118CF6BE" w:rsidR="00D0328A" w:rsidRPr="00AC6DE1" w:rsidRDefault="00D0328A" w:rsidP="004377FC">
            <w:pPr>
              <w:jc w:val="center"/>
              <w:rPr>
                <w:rFonts w:cs="Calibri"/>
                <w:b/>
                <w:bCs/>
                <w:color w:val="000000"/>
              </w:rPr>
            </w:pPr>
            <w:r>
              <w:rPr>
                <w:rFonts w:cs="Calibri"/>
                <w:b/>
                <w:bCs/>
                <w:color w:val="000000"/>
              </w:rPr>
              <w:t xml:space="preserve">Jedlé </w:t>
            </w:r>
            <w:r w:rsidRPr="00AC6DE1">
              <w:rPr>
                <w:rFonts w:cs="Calibri"/>
                <w:b/>
                <w:bCs/>
                <w:color w:val="000000"/>
              </w:rPr>
              <w:t>olej</w:t>
            </w:r>
            <w:r>
              <w:rPr>
                <w:rFonts w:cs="Calibri"/>
                <w:b/>
                <w:bCs/>
                <w:color w:val="000000"/>
              </w:rPr>
              <w:t>e a tuky</w:t>
            </w:r>
          </w:p>
        </w:tc>
        <w:tc>
          <w:tcPr>
            <w:tcW w:w="909" w:type="dxa"/>
            <w:shd w:val="clear" w:color="000000" w:fill="FFFFFF" w:themeFill="background1"/>
            <w:vAlign w:val="center"/>
          </w:tcPr>
          <w:p w14:paraId="6A14833B" w14:textId="144BE97B" w:rsidR="00D0328A" w:rsidRDefault="00D0328A" w:rsidP="004377FC">
            <w:pPr>
              <w:jc w:val="center"/>
              <w:rPr>
                <w:rFonts w:cs="Calibri"/>
                <w:b/>
                <w:bCs/>
                <w:color w:val="000000"/>
              </w:rPr>
            </w:pPr>
            <w:r>
              <w:rPr>
                <w:rFonts w:cs="Calibri"/>
                <w:b/>
                <w:bCs/>
                <w:color w:val="000000"/>
              </w:rPr>
              <w:t>Kovy</w:t>
            </w:r>
          </w:p>
        </w:tc>
        <w:tc>
          <w:tcPr>
            <w:tcW w:w="998" w:type="dxa"/>
            <w:shd w:val="clear" w:color="000000" w:fill="BFBFBF" w:themeFill="background1" w:themeFillShade="BF"/>
            <w:vAlign w:val="center"/>
            <w:hideMark/>
          </w:tcPr>
          <w:p w14:paraId="42CAD7D7" w14:textId="4CE78CE1" w:rsidR="00D0328A" w:rsidRPr="00AC6DE1" w:rsidRDefault="00D0328A" w:rsidP="004377FC">
            <w:pPr>
              <w:jc w:val="center"/>
              <w:rPr>
                <w:rFonts w:cs="Calibri"/>
                <w:b/>
                <w:bCs/>
                <w:color w:val="000000"/>
              </w:rPr>
            </w:pPr>
            <w:r>
              <w:rPr>
                <w:rFonts w:cs="Calibri"/>
                <w:b/>
                <w:bCs/>
                <w:color w:val="000000"/>
              </w:rPr>
              <w:t>D</w:t>
            </w:r>
            <w:r w:rsidRPr="00AC6DE1">
              <w:rPr>
                <w:rFonts w:cs="Calibri"/>
                <w:b/>
                <w:bCs/>
                <w:color w:val="000000"/>
              </w:rPr>
              <w:t xml:space="preserve">robný </w:t>
            </w:r>
            <w:r>
              <w:rPr>
                <w:rFonts w:cs="Calibri"/>
                <w:b/>
                <w:bCs/>
                <w:color w:val="000000"/>
              </w:rPr>
              <w:t>kovový odpad</w:t>
            </w:r>
          </w:p>
        </w:tc>
        <w:tc>
          <w:tcPr>
            <w:tcW w:w="910" w:type="dxa"/>
            <w:shd w:val="clear" w:color="000000" w:fill="FFFFFF" w:themeFill="background1"/>
            <w:noWrap/>
            <w:vAlign w:val="center"/>
            <w:hideMark/>
          </w:tcPr>
          <w:p w14:paraId="7AC73555" w14:textId="30E71EE1" w:rsidR="00D0328A" w:rsidRPr="00AC6DE1" w:rsidRDefault="00D0328A" w:rsidP="004377FC">
            <w:pPr>
              <w:jc w:val="center"/>
              <w:rPr>
                <w:rFonts w:cs="Calibri"/>
                <w:b/>
                <w:bCs/>
                <w:color w:val="000000"/>
              </w:rPr>
            </w:pPr>
            <w:r>
              <w:rPr>
                <w:rFonts w:cs="Calibri"/>
                <w:b/>
                <w:bCs/>
                <w:color w:val="000000"/>
              </w:rPr>
              <w:t>T</w:t>
            </w:r>
            <w:r w:rsidRPr="00AC6DE1">
              <w:rPr>
                <w:rFonts w:cs="Calibri"/>
                <w:b/>
                <w:bCs/>
                <w:color w:val="000000"/>
              </w:rPr>
              <w:t>extil</w:t>
            </w:r>
          </w:p>
        </w:tc>
        <w:tc>
          <w:tcPr>
            <w:tcW w:w="914" w:type="dxa"/>
            <w:shd w:val="clear" w:color="000000" w:fill="FFFFFF" w:themeFill="background1"/>
            <w:noWrap/>
            <w:vAlign w:val="center"/>
            <w:hideMark/>
          </w:tcPr>
          <w:p w14:paraId="4756031A" w14:textId="17D85C14" w:rsidR="00D0328A" w:rsidRPr="00AC6DE1" w:rsidRDefault="00E4773D" w:rsidP="004377FC">
            <w:pPr>
              <w:jc w:val="center"/>
              <w:rPr>
                <w:rFonts w:cs="Calibri"/>
                <w:b/>
                <w:bCs/>
                <w:color w:val="000000"/>
              </w:rPr>
            </w:pPr>
            <w:r>
              <w:rPr>
                <w:rFonts w:cs="Calibri"/>
                <w:b/>
                <w:bCs/>
                <w:color w:val="000000"/>
              </w:rPr>
              <w:t>Drobné e</w:t>
            </w:r>
            <w:r w:rsidR="00D0328A" w:rsidRPr="00AC6DE1">
              <w:rPr>
                <w:rFonts w:cs="Calibri"/>
                <w:b/>
                <w:bCs/>
                <w:color w:val="000000"/>
              </w:rPr>
              <w:t>lektro</w:t>
            </w:r>
            <w:r>
              <w:rPr>
                <w:rFonts w:cs="Calibri"/>
                <w:b/>
                <w:bCs/>
                <w:color w:val="000000"/>
              </w:rPr>
              <w:t xml:space="preserve"> a baterie</w:t>
            </w:r>
          </w:p>
        </w:tc>
        <w:tc>
          <w:tcPr>
            <w:tcW w:w="1050" w:type="dxa"/>
            <w:shd w:val="clear" w:color="000000" w:fill="FFFF00"/>
            <w:noWrap/>
            <w:vAlign w:val="center"/>
            <w:hideMark/>
          </w:tcPr>
          <w:p w14:paraId="49C1D4C9" w14:textId="77777777" w:rsidR="00D0328A" w:rsidRPr="00AC6DE1" w:rsidRDefault="00D0328A" w:rsidP="004377FC">
            <w:pPr>
              <w:jc w:val="center"/>
              <w:rPr>
                <w:rFonts w:cs="Calibri"/>
                <w:b/>
                <w:bCs/>
                <w:color w:val="000000"/>
              </w:rPr>
            </w:pPr>
            <w:r w:rsidRPr="00AC6DE1">
              <w:rPr>
                <w:rFonts w:cs="Calibri"/>
                <w:b/>
                <w:bCs/>
                <w:color w:val="000000"/>
              </w:rPr>
              <w:t>Plast</w:t>
            </w:r>
          </w:p>
        </w:tc>
      </w:tr>
      <w:tr w:rsidR="00D0328A" w:rsidRPr="00AC6DE1" w14:paraId="16429E46" w14:textId="77777777" w:rsidTr="00111C15">
        <w:trPr>
          <w:trHeight w:val="315"/>
        </w:trPr>
        <w:tc>
          <w:tcPr>
            <w:tcW w:w="15013" w:type="dxa"/>
            <w:gridSpan w:val="12"/>
          </w:tcPr>
          <w:p w14:paraId="70B97822" w14:textId="2FFB5310" w:rsidR="00D0328A" w:rsidRPr="0081597C" w:rsidRDefault="00D0328A" w:rsidP="004377FC">
            <w:pPr>
              <w:rPr>
                <w:rFonts w:cs="Calibri"/>
                <w:b/>
                <w:bCs/>
                <w:color w:val="000000"/>
              </w:rPr>
            </w:pPr>
            <w:r w:rsidRPr="0057153C">
              <w:rPr>
                <w:rFonts w:cs="Calibri"/>
                <w:b/>
                <w:bCs/>
                <w:color w:val="000000"/>
              </w:rPr>
              <w:t>Kamenice</w:t>
            </w:r>
          </w:p>
        </w:tc>
      </w:tr>
      <w:tr w:rsidR="00D0328A" w:rsidRPr="00AC6DE1" w14:paraId="63CA7473" w14:textId="77777777" w:rsidTr="00DA3E74">
        <w:trPr>
          <w:trHeight w:val="315"/>
        </w:trPr>
        <w:tc>
          <w:tcPr>
            <w:tcW w:w="4254" w:type="dxa"/>
            <w:shd w:val="clear" w:color="auto" w:fill="auto"/>
            <w:noWrap/>
            <w:vAlign w:val="bottom"/>
          </w:tcPr>
          <w:p w14:paraId="230404C3" w14:textId="6903B615" w:rsidR="00D0328A" w:rsidRPr="00AC6DE1" w:rsidRDefault="00D0328A" w:rsidP="000F0A7A">
            <w:pPr>
              <w:ind w:left="291"/>
              <w:rPr>
                <w:rFonts w:cs="Calibri"/>
                <w:color w:val="000000"/>
              </w:rPr>
            </w:pPr>
            <w:r>
              <w:rPr>
                <w:rFonts w:cs="Calibri"/>
                <w:color w:val="000000"/>
              </w:rPr>
              <w:t>Za hasičovnou</w:t>
            </w:r>
          </w:p>
        </w:tc>
        <w:tc>
          <w:tcPr>
            <w:tcW w:w="973" w:type="dxa"/>
            <w:shd w:val="clear" w:color="000000" w:fill="95B3D7"/>
            <w:noWrap/>
            <w:vAlign w:val="center"/>
          </w:tcPr>
          <w:p w14:paraId="6C3774EB" w14:textId="05C42B88" w:rsidR="00D0328A" w:rsidRPr="00AE21A7" w:rsidRDefault="00D0328A" w:rsidP="003C657F">
            <w:pPr>
              <w:jc w:val="center"/>
              <w:rPr>
                <w:rFonts w:cs="Calibri"/>
                <w:color w:val="000000"/>
              </w:rPr>
            </w:pPr>
            <w:r w:rsidRPr="00AE21A7">
              <w:rPr>
                <w:rFonts w:cs="Calibri"/>
                <w:color w:val="000000"/>
              </w:rPr>
              <w:t>3</w:t>
            </w:r>
          </w:p>
        </w:tc>
        <w:tc>
          <w:tcPr>
            <w:tcW w:w="973" w:type="dxa"/>
            <w:shd w:val="clear" w:color="000000" w:fill="92D050"/>
            <w:noWrap/>
            <w:vAlign w:val="center"/>
          </w:tcPr>
          <w:p w14:paraId="268D5189" w14:textId="5E603BE9" w:rsidR="00D0328A" w:rsidRPr="00AE21A7" w:rsidRDefault="008F113C" w:rsidP="003C657F">
            <w:pPr>
              <w:jc w:val="center"/>
              <w:rPr>
                <w:rFonts w:cs="Calibri"/>
                <w:color w:val="000000"/>
              </w:rPr>
            </w:pPr>
            <w:r>
              <w:rPr>
                <w:rFonts w:cs="Calibri"/>
                <w:color w:val="000000"/>
              </w:rPr>
              <w:t>4</w:t>
            </w:r>
          </w:p>
        </w:tc>
        <w:tc>
          <w:tcPr>
            <w:tcW w:w="973" w:type="dxa"/>
            <w:shd w:val="clear" w:color="auto" w:fill="auto"/>
            <w:noWrap/>
            <w:vAlign w:val="center"/>
          </w:tcPr>
          <w:p w14:paraId="167DB97B" w14:textId="4E295FB2" w:rsidR="00D0328A" w:rsidRPr="00AE21A7" w:rsidRDefault="00D0328A" w:rsidP="003C657F">
            <w:pPr>
              <w:jc w:val="center"/>
              <w:rPr>
                <w:rFonts w:cs="Calibri"/>
                <w:color w:val="000000"/>
              </w:rPr>
            </w:pPr>
            <w:r w:rsidRPr="00AE21A7">
              <w:rPr>
                <w:rFonts w:cs="Calibri"/>
                <w:color w:val="000000"/>
              </w:rPr>
              <w:t>2</w:t>
            </w:r>
          </w:p>
        </w:tc>
        <w:tc>
          <w:tcPr>
            <w:tcW w:w="974" w:type="dxa"/>
            <w:shd w:val="clear" w:color="000000" w:fill="FABF8F"/>
            <w:noWrap/>
            <w:vAlign w:val="center"/>
          </w:tcPr>
          <w:p w14:paraId="70416CD0" w14:textId="244918DE" w:rsidR="00D0328A" w:rsidRPr="00AE21A7" w:rsidRDefault="00D0328A" w:rsidP="003C657F">
            <w:pPr>
              <w:jc w:val="center"/>
              <w:rPr>
                <w:rFonts w:cs="Calibri"/>
                <w:color w:val="000000"/>
              </w:rPr>
            </w:pPr>
            <w:r w:rsidRPr="00AE21A7">
              <w:rPr>
                <w:rFonts w:cs="Calibri"/>
                <w:color w:val="000000"/>
              </w:rPr>
              <w:t>2</w:t>
            </w:r>
          </w:p>
        </w:tc>
        <w:tc>
          <w:tcPr>
            <w:tcW w:w="1112" w:type="dxa"/>
            <w:shd w:val="clear" w:color="auto" w:fill="auto"/>
            <w:noWrap/>
            <w:vAlign w:val="center"/>
          </w:tcPr>
          <w:p w14:paraId="18F84C32" w14:textId="2A40ECA8" w:rsidR="00D0328A" w:rsidRPr="00AE21A7" w:rsidRDefault="00D0328A" w:rsidP="003C657F">
            <w:pPr>
              <w:jc w:val="center"/>
              <w:rPr>
                <w:rFonts w:cs="Calibri"/>
                <w:color w:val="000000"/>
              </w:rPr>
            </w:pPr>
          </w:p>
        </w:tc>
        <w:tc>
          <w:tcPr>
            <w:tcW w:w="961" w:type="dxa"/>
            <w:shd w:val="clear" w:color="auto" w:fill="auto"/>
            <w:noWrap/>
            <w:vAlign w:val="center"/>
          </w:tcPr>
          <w:p w14:paraId="088FCB8C" w14:textId="29D30BBF" w:rsidR="00D0328A" w:rsidRPr="00AE21A7" w:rsidRDefault="00D0328A" w:rsidP="003C657F">
            <w:pPr>
              <w:jc w:val="center"/>
              <w:rPr>
                <w:rFonts w:cs="Calibri"/>
                <w:color w:val="000000"/>
              </w:rPr>
            </w:pPr>
            <w:r w:rsidRPr="00AE21A7">
              <w:rPr>
                <w:rFonts w:cs="Calibri"/>
                <w:color w:val="000000"/>
              </w:rPr>
              <w:t>2</w:t>
            </w:r>
          </w:p>
        </w:tc>
        <w:tc>
          <w:tcPr>
            <w:tcW w:w="909" w:type="dxa"/>
            <w:vAlign w:val="center"/>
          </w:tcPr>
          <w:p w14:paraId="4B2B722A" w14:textId="0D8D304F" w:rsidR="00D0328A" w:rsidRPr="00AE21A7" w:rsidRDefault="00D0328A" w:rsidP="003C657F">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tcPr>
          <w:p w14:paraId="0F8061E0" w14:textId="58518A17" w:rsidR="00D0328A" w:rsidRPr="00AE21A7" w:rsidRDefault="00D0328A" w:rsidP="003C657F">
            <w:pPr>
              <w:jc w:val="center"/>
              <w:rPr>
                <w:rFonts w:cs="Calibri"/>
                <w:color w:val="000000"/>
              </w:rPr>
            </w:pPr>
          </w:p>
        </w:tc>
        <w:tc>
          <w:tcPr>
            <w:tcW w:w="910" w:type="dxa"/>
            <w:shd w:val="clear" w:color="auto" w:fill="auto"/>
            <w:noWrap/>
            <w:vAlign w:val="center"/>
          </w:tcPr>
          <w:p w14:paraId="4B3781B3" w14:textId="4A266D0E" w:rsidR="00D0328A" w:rsidRPr="00AE21A7" w:rsidRDefault="00D0328A" w:rsidP="003C657F">
            <w:pPr>
              <w:jc w:val="center"/>
              <w:rPr>
                <w:rFonts w:cs="Calibri"/>
                <w:color w:val="000000"/>
              </w:rPr>
            </w:pPr>
          </w:p>
        </w:tc>
        <w:tc>
          <w:tcPr>
            <w:tcW w:w="914" w:type="dxa"/>
            <w:shd w:val="clear" w:color="auto" w:fill="auto"/>
            <w:noWrap/>
            <w:vAlign w:val="center"/>
          </w:tcPr>
          <w:p w14:paraId="2B779A21" w14:textId="3F32A1E1" w:rsidR="00D0328A" w:rsidRPr="00AE21A7" w:rsidRDefault="00D0328A" w:rsidP="003C657F">
            <w:pPr>
              <w:jc w:val="center"/>
              <w:rPr>
                <w:rFonts w:cs="Calibri"/>
                <w:color w:val="000000"/>
              </w:rPr>
            </w:pPr>
          </w:p>
        </w:tc>
        <w:tc>
          <w:tcPr>
            <w:tcW w:w="1050" w:type="dxa"/>
            <w:shd w:val="clear" w:color="000000" w:fill="FFFF00"/>
            <w:noWrap/>
            <w:vAlign w:val="center"/>
          </w:tcPr>
          <w:p w14:paraId="26609F42" w14:textId="14790EE1" w:rsidR="00D0328A" w:rsidRPr="00AE21A7" w:rsidRDefault="00D0328A" w:rsidP="003C657F">
            <w:pPr>
              <w:jc w:val="center"/>
              <w:rPr>
                <w:rFonts w:cs="Calibri"/>
                <w:color w:val="000000"/>
              </w:rPr>
            </w:pPr>
          </w:p>
        </w:tc>
      </w:tr>
      <w:tr w:rsidR="00D0328A" w:rsidRPr="00AC6DE1" w14:paraId="40335CB2" w14:textId="77777777" w:rsidTr="00DA3E74">
        <w:trPr>
          <w:trHeight w:val="300"/>
        </w:trPr>
        <w:tc>
          <w:tcPr>
            <w:tcW w:w="4254" w:type="dxa"/>
            <w:shd w:val="clear" w:color="auto" w:fill="auto"/>
            <w:noWrap/>
            <w:vAlign w:val="bottom"/>
            <w:hideMark/>
          </w:tcPr>
          <w:p w14:paraId="14BEA8E4" w14:textId="2A6BA868" w:rsidR="00D0328A" w:rsidRPr="00AC6DE1" w:rsidRDefault="00D0328A" w:rsidP="000F0A7A">
            <w:pPr>
              <w:ind w:left="291"/>
              <w:rPr>
                <w:rFonts w:cs="Calibri"/>
                <w:color w:val="000000"/>
              </w:rPr>
            </w:pPr>
            <w:r>
              <w:rPr>
                <w:rFonts w:cs="Calibri"/>
                <w:color w:val="000000"/>
              </w:rPr>
              <w:t>Třebíčská ulice u autobus. zastávky</w:t>
            </w:r>
          </w:p>
        </w:tc>
        <w:tc>
          <w:tcPr>
            <w:tcW w:w="973" w:type="dxa"/>
            <w:shd w:val="clear" w:color="000000" w:fill="95B3D7"/>
            <w:noWrap/>
            <w:vAlign w:val="center"/>
            <w:hideMark/>
          </w:tcPr>
          <w:p w14:paraId="7161F4EA"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55FD96CA"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hideMark/>
          </w:tcPr>
          <w:p w14:paraId="7C8E9EDE" w14:textId="77777777"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0671A28A" w14:textId="77777777" w:rsidR="00D0328A" w:rsidRPr="00AE21A7" w:rsidRDefault="00D0328A" w:rsidP="003C657F">
            <w:pPr>
              <w:jc w:val="center"/>
              <w:rPr>
                <w:rFonts w:cs="Calibri"/>
                <w:color w:val="000000"/>
              </w:rPr>
            </w:pPr>
            <w:r w:rsidRPr="00AE21A7">
              <w:rPr>
                <w:rFonts w:cs="Calibri"/>
                <w:color w:val="000000"/>
              </w:rPr>
              <w:t>1</w:t>
            </w:r>
          </w:p>
        </w:tc>
        <w:tc>
          <w:tcPr>
            <w:tcW w:w="1112" w:type="dxa"/>
            <w:shd w:val="clear" w:color="auto" w:fill="auto"/>
            <w:noWrap/>
            <w:vAlign w:val="center"/>
            <w:hideMark/>
          </w:tcPr>
          <w:p w14:paraId="50752D39" w14:textId="033C94ED" w:rsidR="00D0328A" w:rsidRPr="00AE21A7" w:rsidRDefault="00D0328A" w:rsidP="003C657F">
            <w:pPr>
              <w:jc w:val="center"/>
              <w:rPr>
                <w:rFonts w:cs="Calibri"/>
                <w:color w:val="000000"/>
              </w:rPr>
            </w:pPr>
          </w:p>
        </w:tc>
        <w:tc>
          <w:tcPr>
            <w:tcW w:w="961" w:type="dxa"/>
            <w:shd w:val="clear" w:color="auto" w:fill="auto"/>
            <w:noWrap/>
            <w:vAlign w:val="center"/>
            <w:hideMark/>
          </w:tcPr>
          <w:p w14:paraId="3A54BA2D" w14:textId="77777777" w:rsidR="00D0328A" w:rsidRPr="00AE21A7" w:rsidRDefault="00D0328A" w:rsidP="003C657F">
            <w:pPr>
              <w:jc w:val="center"/>
              <w:rPr>
                <w:rFonts w:cs="Calibri"/>
                <w:color w:val="000000"/>
              </w:rPr>
            </w:pPr>
          </w:p>
        </w:tc>
        <w:tc>
          <w:tcPr>
            <w:tcW w:w="909" w:type="dxa"/>
            <w:vAlign w:val="center"/>
          </w:tcPr>
          <w:p w14:paraId="712AE856"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hideMark/>
          </w:tcPr>
          <w:p w14:paraId="5F771B59" w14:textId="5CC79EFB" w:rsidR="00D0328A" w:rsidRPr="00AE21A7" w:rsidRDefault="00D0328A" w:rsidP="003C657F">
            <w:pPr>
              <w:jc w:val="center"/>
              <w:rPr>
                <w:rFonts w:cs="Calibri"/>
                <w:color w:val="000000"/>
              </w:rPr>
            </w:pPr>
          </w:p>
        </w:tc>
        <w:tc>
          <w:tcPr>
            <w:tcW w:w="910" w:type="dxa"/>
            <w:shd w:val="clear" w:color="auto" w:fill="auto"/>
            <w:noWrap/>
            <w:vAlign w:val="center"/>
            <w:hideMark/>
          </w:tcPr>
          <w:p w14:paraId="77611EB6" w14:textId="511B654E" w:rsidR="00D0328A" w:rsidRPr="00AE21A7" w:rsidRDefault="00D0328A" w:rsidP="003C657F">
            <w:pPr>
              <w:jc w:val="center"/>
              <w:rPr>
                <w:rFonts w:cs="Calibri"/>
                <w:color w:val="000000"/>
              </w:rPr>
            </w:pPr>
          </w:p>
        </w:tc>
        <w:tc>
          <w:tcPr>
            <w:tcW w:w="914" w:type="dxa"/>
            <w:shd w:val="clear" w:color="auto" w:fill="auto"/>
            <w:noWrap/>
            <w:vAlign w:val="center"/>
            <w:hideMark/>
          </w:tcPr>
          <w:p w14:paraId="63E43635" w14:textId="230A3602" w:rsidR="00D0328A" w:rsidRPr="00AE21A7" w:rsidRDefault="00D0328A" w:rsidP="003C657F">
            <w:pPr>
              <w:jc w:val="center"/>
              <w:rPr>
                <w:rFonts w:cs="Calibri"/>
                <w:color w:val="000000"/>
              </w:rPr>
            </w:pPr>
          </w:p>
        </w:tc>
        <w:tc>
          <w:tcPr>
            <w:tcW w:w="1050" w:type="dxa"/>
            <w:shd w:val="clear" w:color="000000" w:fill="FFFF00"/>
            <w:noWrap/>
            <w:vAlign w:val="center"/>
            <w:hideMark/>
          </w:tcPr>
          <w:p w14:paraId="45008677" w14:textId="59C6A7F1" w:rsidR="00D0328A" w:rsidRPr="00AE21A7" w:rsidRDefault="00D0328A" w:rsidP="003C657F">
            <w:pPr>
              <w:jc w:val="center"/>
              <w:rPr>
                <w:rFonts w:cs="Calibri"/>
                <w:color w:val="000000"/>
              </w:rPr>
            </w:pPr>
          </w:p>
        </w:tc>
      </w:tr>
      <w:tr w:rsidR="00D0328A" w:rsidRPr="00AC6DE1" w14:paraId="2D195BF5" w14:textId="77777777" w:rsidTr="00DA3E74">
        <w:trPr>
          <w:trHeight w:val="300"/>
        </w:trPr>
        <w:tc>
          <w:tcPr>
            <w:tcW w:w="4254" w:type="dxa"/>
            <w:shd w:val="clear" w:color="auto" w:fill="auto"/>
            <w:noWrap/>
            <w:vAlign w:val="bottom"/>
            <w:hideMark/>
          </w:tcPr>
          <w:p w14:paraId="0D77EDDC" w14:textId="7FB79F9A" w:rsidR="00D0328A" w:rsidRPr="00AC6DE1" w:rsidRDefault="00D0328A" w:rsidP="000F0A7A">
            <w:pPr>
              <w:ind w:left="291"/>
              <w:rPr>
                <w:rFonts w:cs="Calibri"/>
                <w:color w:val="000000"/>
              </w:rPr>
            </w:pPr>
            <w:r>
              <w:rPr>
                <w:rFonts w:cs="Calibri"/>
                <w:color w:val="000000"/>
              </w:rPr>
              <w:t>U fotbalového hřiště Líchy</w:t>
            </w:r>
          </w:p>
        </w:tc>
        <w:tc>
          <w:tcPr>
            <w:tcW w:w="973" w:type="dxa"/>
            <w:shd w:val="clear" w:color="000000" w:fill="95B3D7"/>
            <w:noWrap/>
            <w:vAlign w:val="center"/>
            <w:hideMark/>
          </w:tcPr>
          <w:p w14:paraId="4CECD88E"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353C8BF0"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hideMark/>
          </w:tcPr>
          <w:p w14:paraId="6ED1538C" w14:textId="77777777"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6F7F0822" w14:textId="3525B1C0" w:rsidR="00D0328A" w:rsidRPr="00AE21A7" w:rsidRDefault="00D0328A" w:rsidP="003C657F">
            <w:pPr>
              <w:jc w:val="center"/>
              <w:rPr>
                <w:rFonts w:cs="Calibri"/>
                <w:color w:val="000000"/>
              </w:rPr>
            </w:pPr>
          </w:p>
        </w:tc>
        <w:tc>
          <w:tcPr>
            <w:tcW w:w="1112" w:type="dxa"/>
            <w:shd w:val="clear" w:color="auto" w:fill="auto"/>
            <w:noWrap/>
            <w:vAlign w:val="center"/>
            <w:hideMark/>
          </w:tcPr>
          <w:p w14:paraId="7767FE4E" w14:textId="0220ED7E" w:rsidR="00D0328A" w:rsidRPr="00AE21A7" w:rsidRDefault="00D0328A" w:rsidP="003C657F">
            <w:pPr>
              <w:jc w:val="center"/>
              <w:rPr>
                <w:rFonts w:cs="Calibri"/>
                <w:color w:val="000000"/>
              </w:rPr>
            </w:pPr>
          </w:p>
        </w:tc>
        <w:tc>
          <w:tcPr>
            <w:tcW w:w="961" w:type="dxa"/>
            <w:shd w:val="clear" w:color="auto" w:fill="auto"/>
            <w:noWrap/>
            <w:vAlign w:val="center"/>
            <w:hideMark/>
          </w:tcPr>
          <w:p w14:paraId="6B93DD36" w14:textId="4443ACFA" w:rsidR="00D0328A" w:rsidRPr="00AE21A7" w:rsidRDefault="00D0328A" w:rsidP="003C657F">
            <w:pPr>
              <w:jc w:val="center"/>
              <w:rPr>
                <w:rFonts w:cs="Calibri"/>
                <w:color w:val="000000"/>
              </w:rPr>
            </w:pPr>
          </w:p>
        </w:tc>
        <w:tc>
          <w:tcPr>
            <w:tcW w:w="909" w:type="dxa"/>
            <w:vAlign w:val="center"/>
          </w:tcPr>
          <w:p w14:paraId="66ABFA26"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hideMark/>
          </w:tcPr>
          <w:p w14:paraId="229A4998" w14:textId="16200D54" w:rsidR="00D0328A" w:rsidRPr="00AE21A7" w:rsidRDefault="00D0328A" w:rsidP="003C657F">
            <w:pPr>
              <w:jc w:val="center"/>
              <w:rPr>
                <w:rFonts w:cs="Calibri"/>
                <w:color w:val="000000"/>
              </w:rPr>
            </w:pPr>
          </w:p>
        </w:tc>
        <w:tc>
          <w:tcPr>
            <w:tcW w:w="910" w:type="dxa"/>
            <w:shd w:val="clear" w:color="auto" w:fill="auto"/>
            <w:noWrap/>
            <w:vAlign w:val="center"/>
            <w:hideMark/>
          </w:tcPr>
          <w:p w14:paraId="14061221" w14:textId="55B0ABFC" w:rsidR="00D0328A" w:rsidRPr="00AE21A7" w:rsidRDefault="00D0328A" w:rsidP="003C657F">
            <w:pPr>
              <w:jc w:val="center"/>
              <w:rPr>
                <w:rFonts w:cs="Calibri"/>
                <w:color w:val="000000"/>
              </w:rPr>
            </w:pPr>
          </w:p>
        </w:tc>
        <w:tc>
          <w:tcPr>
            <w:tcW w:w="914" w:type="dxa"/>
            <w:shd w:val="clear" w:color="auto" w:fill="auto"/>
            <w:noWrap/>
            <w:vAlign w:val="center"/>
            <w:hideMark/>
          </w:tcPr>
          <w:p w14:paraId="47F24186" w14:textId="75C2C7C6" w:rsidR="00D0328A" w:rsidRPr="00AE21A7" w:rsidRDefault="00D0328A" w:rsidP="003C657F">
            <w:pPr>
              <w:jc w:val="center"/>
              <w:rPr>
                <w:rFonts w:cs="Calibri"/>
                <w:color w:val="000000"/>
              </w:rPr>
            </w:pPr>
          </w:p>
        </w:tc>
        <w:tc>
          <w:tcPr>
            <w:tcW w:w="1050" w:type="dxa"/>
            <w:shd w:val="clear" w:color="000000" w:fill="FFFF00"/>
            <w:noWrap/>
            <w:vAlign w:val="center"/>
            <w:hideMark/>
          </w:tcPr>
          <w:p w14:paraId="33C87ABC" w14:textId="4C76DFFB" w:rsidR="00D0328A" w:rsidRPr="00AE21A7" w:rsidRDefault="00D0328A" w:rsidP="003C657F">
            <w:pPr>
              <w:jc w:val="center"/>
              <w:rPr>
                <w:rFonts w:cs="Calibri"/>
                <w:color w:val="000000"/>
              </w:rPr>
            </w:pPr>
          </w:p>
        </w:tc>
      </w:tr>
      <w:tr w:rsidR="00D0328A" w:rsidRPr="00AC6DE1" w14:paraId="7D94FECF" w14:textId="77777777" w:rsidTr="00DA3E74">
        <w:trPr>
          <w:trHeight w:val="300"/>
        </w:trPr>
        <w:tc>
          <w:tcPr>
            <w:tcW w:w="4254" w:type="dxa"/>
            <w:shd w:val="clear" w:color="auto" w:fill="auto"/>
            <w:noWrap/>
            <w:vAlign w:val="bottom"/>
          </w:tcPr>
          <w:p w14:paraId="2C37C167" w14:textId="5051DD18" w:rsidR="00D0328A" w:rsidRPr="00AC6DE1" w:rsidRDefault="00D0328A" w:rsidP="000F0A7A">
            <w:pPr>
              <w:ind w:left="291"/>
              <w:rPr>
                <w:rFonts w:cs="Calibri"/>
                <w:color w:val="000000"/>
              </w:rPr>
            </w:pPr>
            <w:r>
              <w:rPr>
                <w:rFonts w:cs="Calibri"/>
                <w:color w:val="000000"/>
              </w:rPr>
              <w:t>Parkoviště pod Jednotou</w:t>
            </w:r>
          </w:p>
        </w:tc>
        <w:tc>
          <w:tcPr>
            <w:tcW w:w="973" w:type="dxa"/>
            <w:shd w:val="clear" w:color="000000" w:fill="95B3D7"/>
            <w:noWrap/>
            <w:vAlign w:val="center"/>
          </w:tcPr>
          <w:p w14:paraId="720358EB" w14:textId="0C8D84FF" w:rsidR="00D0328A" w:rsidRPr="00AE21A7" w:rsidRDefault="00D0328A" w:rsidP="003C657F">
            <w:pPr>
              <w:jc w:val="center"/>
              <w:rPr>
                <w:rFonts w:cs="Calibri"/>
                <w:color w:val="000000"/>
              </w:rPr>
            </w:pPr>
            <w:r w:rsidRPr="00AE21A7">
              <w:rPr>
                <w:rFonts w:cs="Calibri"/>
                <w:color w:val="000000"/>
              </w:rPr>
              <w:t>4</w:t>
            </w:r>
          </w:p>
        </w:tc>
        <w:tc>
          <w:tcPr>
            <w:tcW w:w="973" w:type="dxa"/>
            <w:shd w:val="clear" w:color="000000" w:fill="92D050"/>
            <w:noWrap/>
            <w:vAlign w:val="center"/>
          </w:tcPr>
          <w:p w14:paraId="05771AAC" w14:textId="2C33EDD9" w:rsidR="00D0328A" w:rsidRPr="00AE21A7" w:rsidRDefault="00D0328A" w:rsidP="003C657F">
            <w:pPr>
              <w:jc w:val="center"/>
              <w:rPr>
                <w:rFonts w:cs="Calibri"/>
                <w:color w:val="000000"/>
              </w:rPr>
            </w:pPr>
            <w:r w:rsidRPr="00AE21A7">
              <w:rPr>
                <w:rFonts w:cs="Calibri"/>
                <w:color w:val="000000"/>
              </w:rPr>
              <w:t>3</w:t>
            </w:r>
          </w:p>
        </w:tc>
        <w:tc>
          <w:tcPr>
            <w:tcW w:w="973" w:type="dxa"/>
            <w:shd w:val="clear" w:color="auto" w:fill="auto"/>
            <w:noWrap/>
            <w:vAlign w:val="center"/>
          </w:tcPr>
          <w:p w14:paraId="4546F028" w14:textId="5F38750C"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tcPr>
          <w:p w14:paraId="4D7806CC" w14:textId="13EF37B0" w:rsidR="00D0328A" w:rsidRPr="00AE21A7" w:rsidRDefault="00D0328A" w:rsidP="003C657F">
            <w:pPr>
              <w:jc w:val="center"/>
              <w:rPr>
                <w:rFonts w:cs="Calibri"/>
                <w:color w:val="000000"/>
              </w:rPr>
            </w:pPr>
            <w:r w:rsidRPr="00AE21A7">
              <w:rPr>
                <w:rFonts w:cs="Calibri"/>
                <w:color w:val="000000"/>
              </w:rPr>
              <w:t>3</w:t>
            </w:r>
          </w:p>
        </w:tc>
        <w:tc>
          <w:tcPr>
            <w:tcW w:w="1112" w:type="dxa"/>
            <w:shd w:val="clear" w:color="auto" w:fill="auto"/>
            <w:noWrap/>
            <w:vAlign w:val="center"/>
          </w:tcPr>
          <w:p w14:paraId="10A998E7" w14:textId="077B6D24" w:rsidR="00D0328A" w:rsidRPr="00AE21A7" w:rsidRDefault="00D0328A" w:rsidP="003C657F">
            <w:pPr>
              <w:jc w:val="center"/>
              <w:rPr>
                <w:rFonts w:cs="Calibri"/>
                <w:color w:val="000000"/>
              </w:rPr>
            </w:pPr>
          </w:p>
        </w:tc>
        <w:tc>
          <w:tcPr>
            <w:tcW w:w="961" w:type="dxa"/>
            <w:shd w:val="clear" w:color="auto" w:fill="auto"/>
            <w:noWrap/>
            <w:vAlign w:val="center"/>
          </w:tcPr>
          <w:p w14:paraId="555B92C2" w14:textId="0F1AFADE" w:rsidR="00D0328A" w:rsidRPr="00AE21A7" w:rsidRDefault="00D0328A" w:rsidP="003C657F">
            <w:pPr>
              <w:jc w:val="center"/>
              <w:rPr>
                <w:rFonts w:cs="Calibri"/>
                <w:color w:val="000000"/>
              </w:rPr>
            </w:pPr>
            <w:r w:rsidRPr="00AE21A7">
              <w:rPr>
                <w:rFonts w:cs="Calibri"/>
                <w:color w:val="000000"/>
              </w:rPr>
              <w:t>1</w:t>
            </w:r>
          </w:p>
        </w:tc>
        <w:tc>
          <w:tcPr>
            <w:tcW w:w="909" w:type="dxa"/>
            <w:vAlign w:val="center"/>
          </w:tcPr>
          <w:p w14:paraId="4E259D34"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351A0933" w14:textId="6EA86B34" w:rsidR="00D0328A" w:rsidRPr="00AE21A7" w:rsidRDefault="00D0328A" w:rsidP="003C657F">
            <w:pPr>
              <w:jc w:val="center"/>
              <w:rPr>
                <w:rFonts w:cs="Calibri"/>
                <w:color w:val="000000"/>
              </w:rPr>
            </w:pPr>
            <w:r w:rsidRPr="00AE21A7">
              <w:rPr>
                <w:rFonts w:cs="Calibri"/>
                <w:color w:val="000000"/>
              </w:rPr>
              <w:t>1</w:t>
            </w:r>
          </w:p>
        </w:tc>
        <w:tc>
          <w:tcPr>
            <w:tcW w:w="910" w:type="dxa"/>
            <w:shd w:val="clear" w:color="auto" w:fill="auto"/>
            <w:noWrap/>
            <w:vAlign w:val="center"/>
          </w:tcPr>
          <w:p w14:paraId="42DFB282" w14:textId="00328644" w:rsidR="00D0328A" w:rsidRPr="00AE21A7" w:rsidRDefault="00E4773D" w:rsidP="003C657F">
            <w:pPr>
              <w:jc w:val="center"/>
              <w:rPr>
                <w:rFonts w:cs="Calibri"/>
                <w:color w:val="000000"/>
              </w:rPr>
            </w:pPr>
            <w:r>
              <w:rPr>
                <w:rFonts w:cs="Calibri"/>
                <w:color w:val="000000"/>
              </w:rPr>
              <w:t>2</w:t>
            </w:r>
          </w:p>
        </w:tc>
        <w:tc>
          <w:tcPr>
            <w:tcW w:w="914" w:type="dxa"/>
            <w:shd w:val="clear" w:color="auto" w:fill="auto"/>
            <w:noWrap/>
            <w:vAlign w:val="center"/>
          </w:tcPr>
          <w:p w14:paraId="1ACFFBEC" w14:textId="421832A3" w:rsidR="00D0328A" w:rsidRPr="00AE21A7" w:rsidRDefault="00D0328A" w:rsidP="003C657F">
            <w:pPr>
              <w:jc w:val="center"/>
              <w:rPr>
                <w:rFonts w:cs="Calibri"/>
                <w:color w:val="000000"/>
              </w:rPr>
            </w:pPr>
            <w:r w:rsidRPr="00AE21A7">
              <w:rPr>
                <w:rFonts w:cs="Calibri"/>
                <w:color w:val="000000"/>
              </w:rPr>
              <w:t>1</w:t>
            </w:r>
          </w:p>
        </w:tc>
        <w:tc>
          <w:tcPr>
            <w:tcW w:w="1050" w:type="dxa"/>
            <w:shd w:val="clear" w:color="000000" w:fill="FFFF00"/>
            <w:noWrap/>
            <w:vAlign w:val="center"/>
          </w:tcPr>
          <w:p w14:paraId="38004648" w14:textId="77777777" w:rsidR="00D0328A" w:rsidRPr="00AE21A7" w:rsidRDefault="00D0328A" w:rsidP="003C657F">
            <w:pPr>
              <w:jc w:val="center"/>
              <w:rPr>
                <w:rFonts w:cs="Calibri"/>
                <w:color w:val="000000"/>
              </w:rPr>
            </w:pPr>
          </w:p>
        </w:tc>
      </w:tr>
      <w:tr w:rsidR="00D0328A" w:rsidRPr="00AC6DE1" w14:paraId="25067C61" w14:textId="77777777" w:rsidTr="00DA3E74">
        <w:trPr>
          <w:trHeight w:val="300"/>
        </w:trPr>
        <w:tc>
          <w:tcPr>
            <w:tcW w:w="4254" w:type="dxa"/>
            <w:shd w:val="clear" w:color="auto" w:fill="auto"/>
            <w:noWrap/>
            <w:vAlign w:val="bottom"/>
          </w:tcPr>
          <w:p w14:paraId="44F438D9" w14:textId="292A760B" w:rsidR="00D0328A" w:rsidRPr="00AC6DE1" w:rsidRDefault="00D0328A" w:rsidP="000F0A7A">
            <w:pPr>
              <w:ind w:left="291"/>
              <w:rPr>
                <w:rFonts w:cs="Calibri"/>
                <w:color w:val="000000"/>
              </w:rPr>
            </w:pPr>
            <w:r>
              <w:rPr>
                <w:rFonts w:cs="Calibri"/>
                <w:color w:val="000000"/>
              </w:rPr>
              <w:t xml:space="preserve">Cihelna – křižovatka </w:t>
            </w:r>
          </w:p>
        </w:tc>
        <w:tc>
          <w:tcPr>
            <w:tcW w:w="973" w:type="dxa"/>
            <w:shd w:val="clear" w:color="000000" w:fill="95B3D7"/>
            <w:noWrap/>
            <w:vAlign w:val="center"/>
          </w:tcPr>
          <w:p w14:paraId="6835A7C2" w14:textId="63E92BFA" w:rsidR="00D0328A" w:rsidRPr="00AE21A7" w:rsidRDefault="00D0328A" w:rsidP="003C657F">
            <w:pPr>
              <w:jc w:val="center"/>
              <w:rPr>
                <w:rFonts w:cs="Calibri"/>
                <w:color w:val="000000"/>
              </w:rPr>
            </w:pPr>
            <w:r w:rsidRPr="00AE21A7">
              <w:rPr>
                <w:rFonts w:cs="Calibri"/>
                <w:color w:val="000000"/>
              </w:rPr>
              <w:t>2</w:t>
            </w:r>
          </w:p>
        </w:tc>
        <w:tc>
          <w:tcPr>
            <w:tcW w:w="973" w:type="dxa"/>
            <w:shd w:val="clear" w:color="000000" w:fill="92D050"/>
            <w:noWrap/>
            <w:vAlign w:val="center"/>
          </w:tcPr>
          <w:p w14:paraId="6D71AFE4" w14:textId="0348FB6E"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tcPr>
          <w:p w14:paraId="3D75A5AE" w14:textId="21E24F3A"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tcPr>
          <w:p w14:paraId="6561D4C2" w14:textId="2516A019" w:rsidR="00D0328A" w:rsidRPr="00AE21A7" w:rsidRDefault="00D0328A" w:rsidP="003C657F">
            <w:pPr>
              <w:jc w:val="center"/>
              <w:rPr>
                <w:rFonts w:cs="Calibri"/>
                <w:color w:val="000000"/>
              </w:rPr>
            </w:pPr>
          </w:p>
        </w:tc>
        <w:tc>
          <w:tcPr>
            <w:tcW w:w="1112" w:type="dxa"/>
            <w:shd w:val="clear" w:color="auto" w:fill="auto"/>
            <w:noWrap/>
            <w:vAlign w:val="center"/>
          </w:tcPr>
          <w:p w14:paraId="752BFA6E" w14:textId="7008A463" w:rsidR="00D0328A" w:rsidRPr="00AE21A7" w:rsidRDefault="00D0328A" w:rsidP="003C657F">
            <w:pPr>
              <w:jc w:val="center"/>
              <w:rPr>
                <w:rFonts w:cs="Calibri"/>
                <w:color w:val="000000"/>
              </w:rPr>
            </w:pPr>
          </w:p>
        </w:tc>
        <w:tc>
          <w:tcPr>
            <w:tcW w:w="961" w:type="dxa"/>
            <w:shd w:val="clear" w:color="auto" w:fill="auto"/>
            <w:noWrap/>
            <w:vAlign w:val="center"/>
          </w:tcPr>
          <w:p w14:paraId="333333A4" w14:textId="16976AD8" w:rsidR="00D0328A" w:rsidRPr="00AE21A7" w:rsidRDefault="00D0328A" w:rsidP="003C657F">
            <w:pPr>
              <w:jc w:val="center"/>
              <w:rPr>
                <w:rFonts w:cs="Calibri"/>
                <w:color w:val="000000"/>
              </w:rPr>
            </w:pPr>
          </w:p>
        </w:tc>
        <w:tc>
          <w:tcPr>
            <w:tcW w:w="909" w:type="dxa"/>
            <w:vAlign w:val="center"/>
          </w:tcPr>
          <w:p w14:paraId="48968C65"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4E50E0C9" w14:textId="3AC4AF67" w:rsidR="00D0328A" w:rsidRPr="00AE21A7" w:rsidRDefault="00C340C6" w:rsidP="003C657F">
            <w:pPr>
              <w:jc w:val="center"/>
              <w:rPr>
                <w:rFonts w:cs="Calibri"/>
                <w:color w:val="000000"/>
              </w:rPr>
            </w:pPr>
            <w:r>
              <w:rPr>
                <w:rFonts w:cs="Calibri"/>
                <w:color w:val="000000"/>
              </w:rPr>
              <w:t>1</w:t>
            </w:r>
          </w:p>
        </w:tc>
        <w:tc>
          <w:tcPr>
            <w:tcW w:w="910" w:type="dxa"/>
            <w:shd w:val="clear" w:color="auto" w:fill="auto"/>
            <w:noWrap/>
            <w:vAlign w:val="center"/>
          </w:tcPr>
          <w:p w14:paraId="0FCC606E" w14:textId="49A760A7" w:rsidR="00D0328A" w:rsidRPr="00AE21A7" w:rsidRDefault="00D0328A" w:rsidP="003C657F">
            <w:pPr>
              <w:jc w:val="center"/>
              <w:rPr>
                <w:rFonts w:cs="Calibri"/>
                <w:color w:val="000000"/>
              </w:rPr>
            </w:pPr>
          </w:p>
        </w:tc>
        <w:tc>
          <w:tcPr>
            <w:tcW w:w="914" w:type="dxa"/>
            <w:shd w:val="clear" w:color="auto" w:fill="auto"/>
            <w:noWrap/>
            <w:vAlign w:val="center"/>
          </w:tcPr>
          <w:p w14:paraId="2E9C1488" w14:textId="3533B844" w:rsidR="00D0328A" w:rsidRPr="00AE21A7" w:rsidRDefault="00D0328A" w:rsidP="003C657F">
            <w:pPr>
              <w:jc w:val="center"/>
              <w:rPr>
                <w:rFonts w:cs="Calibri"/>
                <w:color w:val="000000"/>
              </w:rPr>
            </w:pPr>
          </w:p>
        </w:tc>
        <w:tc>
          <w:tcPr>
            <w:tcW w:w="1050" w:type="dxa"/>
            <w:shd w:val="clear" w:color="000000" w:fill="FFFF00"/>
            <w:noWrap/>
            <w:vAlign w:val="center"/>
          </w:tcPr>
          <w:p w14:paraId="34CC8491" w14:textId="1C30DB20" w:rsidR="00D0328A" w:rsidRPr="00AE21A7" w:rsidRDefault="00D0328A" w:rsidP="003C657F">
            <w:pPr>
              <w:jc w:val="center"/>
              <w:rPr>
                <w:rFonts w:cs="Calibri"/>
                <w:color w:val="000000"/>
              </w:rPr>
            </w:pPr>
          </w:p>
        </w:tc>
      </w:tr>
      <w:tr w:rsidR="00D0328A" w:rsidRPr="00AC6DE1" w14:paraId="265100C8" w14:textId="77777777" w:rsidTr="00DA3E74">
        <w:trPr>
          <w:trHeight w:val="300"/>
        </w:trPr>
        <w:tc>
          <w:tcPr>
            <w:tcW w:w="4254" w:type="dxa"/>
            <w:shd w:val="clear" w:color="auto" w:fill="auto"/>
            <w:noWrap/>
            <w:vAlign w:val="bottom"/>
          </w:tcPr>
          <w:p w14:paraId="49A35F35" w14:textId="6A0F5E7E" w:rsidR="00D0328A" w:rsidRPr="00AC6DE1" w:rsidRDefault="00D0328A" w:rsidP="000F0A7A">
            <w:pPr>
              <w:ind w:left="291"/>
              <w:rPr>
                <w:rFonts w:cs="Calibri"/>
                <w:color w:val="000000"/>
              </w:rPr>
            </w:pPr>
            <w:r w:rsidRPr="00AC6DE1">
              <w:rPr>
                <w:rFonts w:cs="Calibri"/>
                <w:color w:val="000000"/>
              </w:rPr>
              <w:t xml:space="preserve">Cihelna </w:t>
            </w:r>
            <w:r>
              <w:rPr>
                <w:rFonts w:cs="Calibri"/>
                <w:color w:val="000000"/>
              </w:rPr>
              <w:t>–</w:t>
            </w:r>
            <w:r w:rsidRPr="00AC6DE1">
              <w:rPr>
                <w:rFonts w:cs="Calibri"/>
                <w:color w:val="000000"/>
              </w:rPr>
              <w:t xml:space="preserve"> </w:t>
            </w:r>
            <w:r>
              <w:rPr>
                <w:rFonts w:cs="Calibri"/>
                <w:color w:val="000000"/>
              </w:rPr>
              <w:t>u garáží</w:t>
            </w:r>
          </w:p>
        </w:tc>
        <w:tc>
          <w:tcPr>
            <w:tcW w:w="973" w:type="dxa"/>
            <w:shd w:val="clear" w:color="000000" w:fill="95B3D7"/>
            <w:noWrap/>
            <w:vAlign w:val="center"/>
          </w:tcPr>
          <w:p w14:paraId="1B883FA2" w14:textId="19532CF9" w:rsidR="00D0328A" w:rsidRPr="00AE21A7" w:rsidRDefault="00D0328A" w:rsidP="003C657F">
            <w:pPr>
              <w:jc w:val="center"/>
              <w:rPr>
                <w:rFonts w:cs="Calibri"/>
                <w:color w:val="000000"/>
              </w:rPr>
            </w:pPr>
          </w:p>
        </w:tc>
        <w:tc>
          <w:tcPr>
            <w:tcW w:w="973" w:type="dxa"/>
            <w:shd w:val="clear" w:color="000000" w:fill="92D050"/>
            <w:noWrap/>
            <w:vAlign w:val="center"/>
          </w:tcPr>
          <w:p w14:paraId="54FDF959" w14:textId="26F117D6" w:rsidR="00D0328A" w:rsidRPr="00AE21A7" w:rsidRDefault="00D0328A" w:rsidP="003C657F">
            <w:pPr>
              <w:jc w:val="center"/>
              <w:rPr>
                <w:rFonts w:cs="Calibri"/>
                <w:color w:val="000000"/>
              </w:rPr>
            </w:pPr>
          </w:p>
        </w:tc>
        <w:tc>
          <w:tcPr>
            <w:tcW w:w="973" w:type="dxa"/>
            <w:shd w:val="clear" w:color="auto" w:fill="auto"/>
            <w:noWrap/>
            <w:vAlign w:val="center"/>
          </w:tcPr>
          <w:p w14:paraId="2E53C0D2" w14:textId="0A2C3C3F" w:rsidR="00D0328A" w:rsidRPr="00AE21A7" w:rsidRDefault="00D0328A" w:rsidP="003C657F">
            <w:pPr>
              <w:jc w:val="center"/>
              <w:rPr>
                <w:rFonts w:cs="Calibri"/>
                <w:color w:val="000000"/>
              </w:rPr>
            </w:pPr>
          </w:p>
        </w:tc>
        <w:tc>
          <w:tcPr>
            <w:tcW w:w="974" w:type="dxa"/>
            <w:shd w:val="clear" w:color="000000" w:fill="FABF8F"/>
            <w:noWrap/>
            <w:vAlign w:val="center"/>
          </w:tcPr>
          <w:p w14:paraId="5E190AEF" w14:textId="0303D7E4" w:rsidR="00D0328A" w:rsidRPr="00AE21A7" w:rsidRDefault="00D0328A" w:rsidP="003C657F">
            <w:pPr>
              <w:jc w:val="center"/>
              <w:rPr>
                <w:rFonts w:cs="Calibri"/>
                <w:color w:val="000000"/>
              </w:rPr>
            </w:pPr>
            <w:r w:rsidRPr="00AE21A7">
              <w:rPr>
                <w:rFonts w:cs="Calibri"/>
                <w:color w:val="000000"/>
              </w:rPr>
              <w:t>3</w:t>
            </w:r>
          </w:p>
        </w:tc>
        <w:tc>
          <w:tcPr>
            <w:tcW w:w="1112" w:type="dxa"/>
            <w:shd w:val="clear" w:color="auto" w:fill="auto"/>
            <w:noWrap/>
            <w:vAlign w:val="center"/>
          </w:tcPr>
          <w:p w14:paraId="01C55A14" w14:textId="5E0FE5A5" w:rsidR="00D0328A" w:rsidRPr="00AE21A7" w:rsidRDefault="00D0328A" w:rsidP="003C657F">
            <w:pPr>
              <w:jc w:val="center"/>
              <w:rPr>
                <w:rFonts w:cs="Calibri"/>
                <w:color w:val="000000"/>
              </w:rPr>
            </w:pPr>
          </w:p>
        </w:tc>
        <w:tc>
          <w:tcPr>
            <w:tcW w:w="961" w:type="dxa"/>
            <w:shd w:val="clear" w:color="auto" w:fill="auto"/>
            <w:noWrap/>
            <w:vAlign w:val="center"/>
          </w:tcPr>
          <w:p w14:paraId="0B1D7049" w14:textId="22E9E3F4" w:rsidR="00D0328A" w:rsidRPr="00AE21A7" w:rsidRDefault="00D0328A" w:rsidP="003C657F">
            <w:pPr>
              <w:jc w:val="center"/>
              <w:rPr>
                <w:rFonts w:cs="Calibri"/>
                <w:color w:val="000000"/>
              </w:rPr>
            </w:pPr>
          </w:p>
        </w:tc>
        <w:tc>
          <w:tcPr>
            <w:tcW w:w="909" w:type="dxa"/>
            <w:vAlign w:val="center"/>
          </w:tcPr>
          <w:p w14:paraId="32BF7107"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03694AC9" w14:textId="5294D515" w:rsidR="00D0328A" w:rsidRPr="00AE21A7" w:rsidRDefault="00D0328A" w:rsidP="003C657F">
            <w:pPr>
              <w:jc w:val="center"/>
              <w:rPr>
                <w:rFonts w:cs="Calibri"/>
                <w:color w:val="000000"/>
              </w:rPr>
            </w:pPr>
          </w:p>
        </w:tc>
        <w:tc>
          <w:tcPr>
            <w:tcW w:w="910" w:type="dxa"/>
            <w:shd w:val="clear" w:color="auto" w:fill="auto"/>
            <w:noWrap/>
            <w:vAlign w:val="center"/>
          </w:tcPr>
          <w:p w14:paraId="7966B635" w14:textId="414BC86C" w:rsidR="00D0328A" w:rsidRPr="00AE21A7" w:rsidRDefault="00D0328A" w:rsidP="003C657F">
            <w:pPr>
              <w:jc w:val="center"/>
              <w:rPr>
                <w:rFonts w:cs="Calibri"/>
                <w:color w:val="000000"/>
              </w:rPr>
            </w:pPr>
          </w:p>
        </w:tc>
        <w:tc>
          <w:tcPr>
            <w:tcW w:w="914" w:type="dxa"/>
            <w:shd w:val="clear" w:color="auto" w:fill="auto"/>
            <w:noWrap/>
            <w:vAlign w:val="center"/>
          </w:tcPr>
          <w:p w14:paraId="7468FED9" w14:textId="1354A7DD" w:rsidR="00D0328A" w:rsidRPr="00AE21A7" w:rsidRDefault="00D0328A" w:rsidP="003C657F">
            <w:pPr>
              <w:jc w:val="center"/>
              <w:rPr>
                <w:rFonts w:cs="Calibri"/>
                <w:color w:val="000000"/>
              </w:rPr>
            </w:pPr>
          </w:p>
        </w:tc>
        <w:tc>
          <w:tcPr>
            <w:tcW w:w="1050" w:type="dxa"/>
            <w:shd w:val="clear" w:color="000000" w:fill="FFFF00"/>
            <w:noWrap/>
            <w:vAlign w:val="center"/>
          </w:tcPr>
          <w:p w14:paraId="7B05BDD8" w14:textId="31B87E7C" w:rsidR="00D0328A" w:rsidRPr="00AE21A7" w:rsidRDefault="00D0328A" w:rsidP="003C657F">
            <w:pPr>
              <w:jc w:val="center"/>
              <w:rPr>
                <w:rFonts w:cs="Calibri"/>
                <w:color w:val="000000"/>
              </w:rPr>
            </w:pPr>
          </w:p>
        </w:tc>
      </w:tr>
      <w:tr w:rsidR="00D0328A" w:rsidRPr="00AC6DE1" w14:paraId="5A8D3400" w14:textId="77777777" w:rsidTr="00DA3E74">
        <w:trPr>
          <w:trHeight w:val="300"/>
        </w:trPr>
        <w:tc>
          <w:tcPr>
            <w:tcW w:w="4254" w:type="dxa"/>
            <w:shd w:val="clear" w:color="auto" w:fill="auto"/>
            <w:noWrap/>
            <w:vAlign w:val="bottom"/>
          </w:tcPr>
          <w:p w14:paraId="437A91F4" w14:textId="226026FE" w:rsidR="00D0328A" w:rsidRPr="00AC6DE1" w:rsidRDefault="00D0328A" w:rsidP="000F0A7A">
            <w:pPr>
              <w:ind w:left="291"/>
              <w:rPr>
                <w:rFonts w:cs="Calibri"/>
                <w:color w:val="000000"/>
              </w:rPr>
            </w:pPr>
            <w:r>
              <w:rPr>
                <w:rFonts w:cs="Calibri"/>
                <w:color w:val="000000"/>
              </w:rPr>
              <w:t>Hřbitov – hlavní brána</w:t>
            </w:r>
          </w:p>
        </w:tc>
        <w:tc>
          <w:tcPr>
            <w:tcW w:w="973" w:type="dxa"/>
            <w:shd w:val="clear" w:color="000000" w:fill="95B3D7"/>
            <w:noWrap/>
            <w:vAlign w:val="center"/>
          </w:tcPr>
          <w:p w14:paraId="503E1648" w14:textId="0DD9338A" w:rsidR="00D0328A" w:rsidRPr="00AE21A7" w:rsidRDefault="00D0328A" w:rsidP="003C657F">
            <w:pPr>
              <w:jc w:val="center"/>
              <w:rPr>
                <w:rFonts w:cs="Calibri"/>
                <w:color w:val="000000"/>
              </w:rPr>
            </w:pPr>
          </w:p>
        </w:tc>
        <w:tc>
          <w:tcPr>
            <w:tcW w:w="973" w:type="dxa"/>
            <w:shd w:val="clear" w:color="000000" w:fill="92D050"/>
            <w:noWrap/>
            <w:vAlign w:val="center"/>
          </w:tcPr>
          <w:p w14:paraId="78E99D6C" w14:textId="66B289A6"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tcPr>
          <w:p w14:paraId="35492D33" w14:textId="609AFC76" w:rsidR="00D0328A" w:rsidRPr="00AE21A7" w:rsidRDefault="00D0328A" w:rsidP="003C657F">
            <w:pPr>
              <w:jc w:val="center"/>
              <w:rPr>
                <w:rFonts w:cs="Calibri"/>
                <w:color w:val="000000"/>
              </w:rPr>
            </w:pPr>
          </w:p>
        </w:tc>
        <w:tc>
          <w:tcPr>
            <w:tcW w:w="974" w:type="dxa"/>
            <w:shd w:val="clear" w:color="000000" w:fill="FABF8F"/>
            <w:noWrap/>
            <w:vAlign w:val="center"/>
          </w:tcPr>
          <w:p w14:paraId="5357C5D5" w14:textId="03977FDA" w:rsidR="00D0328A" w:rsidRPr="00AE21A7" w:rsidRDefault="00D0328A" w:rsidP="003C657F">
            <w:pPr>
              <w:jc w:val="center"/>
              <w:rPr>
                <w:rFonts w:cs="Calibri"/>
                <w:color w:val="000000"/>
              </w:rPr>
            </w:pPr>
          </w:p>
        </w:tc>
        <w:tc>
          <w:tcPr>
            <w:tcW w:w="1112" w:type="dxa"/>
            <w:shd w:val="clear" w:color="auto" w:fill="auto"/>
            <w:noWrap/>
            <w:vAlign w:val="center"/>
          </w:tcPr>
          <w:p w14:paraId="694D6115" w14:textId="40ED2E97" w:rsidR="00D0328A" w:rsidRPr="00AE21A7" w:rsidRDefault="00D0328A" w:rsidP="003C657F">
            <w:pPr>
              <w:jc w:val="center"/>
              <w:rPr>
                <w:rFonts w:cs="Calibri"/>
                <w:color w:val="000000"/>
              </w:rPr>
            </w:pPr>
            <w:r w:rsidRPr="00AE21A7">
              <w:rPr>
                <w:rFonts w:cs="Calibri"/>
                <w:color w:val="000000"/>
              </w:rPr>
              <w:t>2</w:t>
            </w:r>
          </w:p>
        </w:tc>
        <w:tc>
          <w:tcPr>
            <w:tcW w:w="961" w:type="dxa"/>
            <w:shd w:val="clear" w:color="auto" w:fill="auto"/>
            <w:noWrap/>
            <w:vAlign w:val="center"/>
          </w:tcPr>
          <w:p w14:paraId="58924143" w14:textId="34D43813" w:rsidR="00D0328A" w:rsidRPr="00AE21A7" w:rsidRDefault="00D0328A" w:rsidP="003C657F">
            <w:pPr>
              <w:jc w:val="center"/>
              <w:rPr>
                <w:rFonts w:cs="Calibri"/>
                <w:color w:val="000000"/>
              </w:rPr>
            </w:pPr>
          </w:p>
        </w:tc>
        <w:tc>
          <w:tcPr>
            <w:tcW w:w="909" w:type="dxa"/>
            <w:vAlign w:val="center"/>
          </w:tcPr>
          <w:p w14:paraId="7CA14CED"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7DDE90FC" w14:textId="755FF0AF" w:rsidR="00D0328A" w:rsidRPr="00AE21A7" w:rsidRDefault="00D0328A" w:rsidP="003C657F">
            <w:pPr>
              <w:jc w:val="center"/>
              <w:rPr>
                <w:rFonts w:cs="Calibri"/>
                <w:color w:val="000000"/>
              </w:rPr>
            </w:pPr>
          </w:p>
        </w:tc>
        <w:tc>
          <w:tcPr>
            <w:tcW w:w="910" w:type="dxa"/>
            <w:shd w:val="clear" w:color="auto" w:fill="auto"/>
            <w:noWrap/>
            <w:vAlign w:val="center"/>
          </w:tcPr>
          <w:p w14:paraId="5E6D1818" w14:textId="3180AC62" w:rsidR="00D0328A" w:rsidRPr="00AE21A7" w:rsidRDefault="00D0328A" w:rsidP="003C657F">
            <w:pPr>
              <w:jc w:val="center"/>
              <w:rPr>
                <w:rFonts w:cs="Calibri"/>
                <w:color w:val="000000"/>
              </w:rPr>
            </w:pPr>
          </w:p>
        </w:tc>
        <w:tc>
          <w:tcPr>
            <w:tcW w:w="914" w:type="dxa"/>
            <w:shd w:val="clear" w:color="auto" w:fill="auto"/>
            <w:noWrap/>
            <w:vAlign w:val="center"/>
          </w:tcPr>
          <w:p w14:paraId="1A423700" w14:textId="3061EAD8" w:rsidR="00D0328A" w:rsidRPr="00AE21A7" w:rsidRDefault="00D0328A" w:rsidP="003C657F">
            <w:pPr>
              <w:jc w:val="center"/>
              <w:rPr>
                <w:rFonts w:cs="Calibri"/>
                <w:color w:val="000000"/>
              </w:rPr>
            </w:pPr>
          </w:p>
        </w:tc>
        <w:tc>
          <w:tcPr>
            <w:tcW w:w="1050" w:type="dxa"/>
            <w:shd w:val="clear" w:color="000000" w:fill="FFFF00"/>
            <w:noWrap/>
            <w:vAlign w:val="center"/>
          </w:tcPr>
          <w:p w14:paraId="7944AC26" w14:textId="69B4C187" w:rsidR="00D0328A" w:rsidRPr="00AE21A7" w:rsidRDefault="00D0328A" w:rsidP="003C657F">
            <w:pPr>
              <w:jc w:val="center"/>
              <w:rPr>
                <w:rFonts w:cs="Calibri"/>
                <w:color w:val="000000"/>
              </w:rPr>
            </w:pPr>
            <w:r w:rsidRPr="00AE21A7">
              <w:rPr>
                <w:rFonts w:cs="Calibri"/>
                <w:color w:val="000000"/>
              </w:rPr>
              <w:t>1</w:t>
            </w:r>
          </w:p>
        </w:tc>
      </w:tr>
      <w:tr w:rsidR="00D0328A" w:rsidRPr="00AC6DE1" w14:paraId="3BFAAB09" w14:textId="77777777" w:rsidTr="00DA3E74">
        <w:trPr>
          <w:trHeight w:val="300"/>
        </w:trPr>
        <w:tc>
          <w:tcPr>
            <w:tcW w:w="4254" w:type="dxa"/>
            <w:shd w:val="clear" w:color="auto" w:fill="auto"/>
            <w:noWrap/>
            <w:vAlign w:val="bottom"/>
          </w:tcPr>
          <w:p w14:paraId="1EC265EE" w14:textId="23D4800B" w:rsidR="00D0328A" w:rsidRPr="00AC6DE1" w:rsidRDefault="00D0328A" w:rsidP="000F0A7A">
            <w:pPr>
              <w:ind w:left="291"/>
              <w:rPr>
                <w:rFonts w:cs="Calibri"/>
                <w:color w:val="000000"/>
              </w:rPr>
            </w:pPr>
            <w:r w:rsidRPr="00AC6DE1">
              <w:rPr>
                <w:rFonts w:cs="Calibri"/>
                <w:color w:val="000000"/>
              </w:rPr>
              <w:t xml:space="preserve">Hřbitov </w:t>
            </w:r>
            <w:r>
              <w:rPr>
                <w:rFonts w:cs="Calibri"/>
                <w:color w:val="000000"/>
              </w:rPr>
              <w:t>– zadní vstup</w:t>
            </w:r>
          </w:p>
        </w:tc>
        <w:tc>
          <w:tcPr>
            <w:tcW w:w="973" w:type="dxa"/>
            <w:shd w:val="clear" w:color="000000" w:fill="95B3D7"/>
            <w:noWrap/>
            <w:vAlign w:val="center"/>
          </w:tcPr>
          <w:p w14:paraId="22CD1981" w14:textId="377B1FA2" w:rsidR="00D0328A" w:rsidRPr="00AE21A7" w:rsidRDefault="00D0328A" w:rsidP="003C657F">
            <w:pPr>
              <w:jc w:val="center"/>
              <w:rPr>
                <w:rFonts w:cs="Calibri"/>
                <w:color w:val="000000"/>
              </w:rPr>
            </w:pPr>
          </w:p>
        </w:tc>
        <w:tc>
          <w:tcPr>
            <w:tcW w:w="973" w:type="dxa"/>
            <w:shd w:val="clear" w:color="000000" w:fill="92D050"/>
            <w:noWrap/>
            <w:vAlign w:val="center"/>
          </w:tcPr>
          <w:p w14:paraId="31582CA0" w14:textId="6A579ADD"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tcPr>
          <w:p w14:paraId="1EB4C9E6" w14:textId="0979686A" w:rsidR="00D0328A" w:rsidRPr="00AE21A7" w:rsidRDefault="00D0328A" w:rsidP="003C657F">
            <w:pPr>
              <w:jc w:val="center"/>
              <w:rPr>
                <w:rFonts w:cs="Calibri"/>
                <w:color w:val="000000"/>
              </w:rPr>
            </w:pPr>
          </w:p>
        </w:tc>
        <w:tc>
          <w:tcPr>
            <w:tcW w:w="974" w:type="dxa"/>
            <w:shd w:val="clear" w:color="000000" w:fill="FABF8F"/>
            <w:noWrap/>
            <w:vAlign w:val="center"/>
          </w:tcPr>
          <w:p w14:paraId="18B232E1" w14:textId="66107215" w:rsidR="00D0328A" w:rsidRPr="00AE21A7" w:rsidRDefault="00D0328A" w:rsidP="003C657F">
            <w:pPr>
              <w:jc w:val="center"/>
              <w:rPr>
                <w:rFonts w:cs="Calibri"/>
                <w:color w:val="000000"/>
              </w:rPr>
            </w:pPr>
          </w:p>
        </w:tc>
        <w:tc>
          <w:tcPr>
            <w:tcW w:w="1112" w:type="dxa"/>
            <w:shd w:val="clear" w:color="auto" w:fill="auto"/>
            <w:noWrap/>
            <w:vAlign w:val="center"/>
          </w:tcPr>
          <w:p w14:paraId="0756AFAB" w14:textId="66213783" w:rsidR="00D0328A" w:rsidRPr="00AE21A7" w:rsidRDefault="00D0328A" w:rsidP="003C657F">
            <w:pPr>
              <w:jc w:val="center"/>
              <w:rPr>
                <w:rFonts w:cs="Calibri"/>
                <w:color w:val="000000"/>
              </w:rPr>
            </w:pPr>
            <w:r w:rsidRPr="00AE21A7">
              <w:rPr>
                <w:rFonts w:cs="Calibri"/>
                <w:color w:val="000000"/>
              </w:rPr>
              <w:t>2</w:t>
            </w:r>
          </w:p>
        </w:tc>
        <w:tc>
          <w:tcPr>
            <w:tcW w:w="961" w:type="dxa"/>
            <w:shd w:val="clear" w:color="auto" w:fill="auto"/>
            <w:noWrap/>
            <w:vAlign w:val="center"/>
          </w:tcPr>
          <w:p w14:paraId="239DE301" w14:textId="11A766D4" w:rsidR="00D0328A" w:rsidRPr="00AE21A7" w:rsidRDefault="00D0328A" w:rsidP="003C657F">
            <w:pPr>
              <w:jc w:val="center"/>
              <w:rPr>
                <w:rFonts w:cs="Calibri"/>
                <w:color w:val="000000"/>
              </w:rPr>
            </w:pPr>
          </w:p>
        </w:tc>
        <w:tc>
          <w:tcPr>
            <w:tcW w:w="909" w:type="dxa"/>
            <w:vAlign w:val="center"/>
          </w:tcPr>
          <w:p w14:paraId="52420508"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7B1A5375" w14:textId="53111AE7" w:rsidR="00D0328A" w:rsidRPr="00AE21A7" w:rsidRDefault="00D0328A" w:rsidP="003C657F">
            <w:pPr>
              <w:jc w:val="center"/>
              <w:rPr>
                <w:rFonts w:cs="Calibri"/>
                <w:color w:val="000000"/>
              </w:rPr>
            </w:pPr>
          </w:p>
        </w:tc>
        <w:tc>
          <w:tcPr>
            <w:tcW w:w="910" w:type="dxa"/>
            <w:shd w:val="clear" w:color="auto" w:fill="auto"/>
            <w:noWrap/>
            <w:vAlign w:val="center"/>
          </w:tcPr>
          <w:p w14:paraId="3C00B540" w14:textId="221932D5" w:rsidR="00D0328A" w:rsidRPr="00AE21A7" w:rsidRDefault="00D0328A" w:rsidP="003C657F">
            <w:pPr>
              <w:jc w:val="center"/>
              <w:rPr>
                <w:rFonts w:cs="Calibri"/>
                <w:color w:val="000000"/>
              </w:rPr>
            </w:pPr>
          </w:p>
        </w:tc>
        <w:tc>
          <w:tcPr>
            <w:tcW w:w="914" w:type="dxa"/>
            <w:shd w:val="clear" w:color="auto" w:fill="auto"/>
            <w:noWrap/>
            <w:vAlign w:val="center"/>
          </w:tcPr>
          <w:p w14:paraId="02363AEF" w14:textId="3BBFE973" w:rsidR="00D0328A" w:rsidRPr="00AE21A7" w:rsidRDefault="00D0328A" w:rsidP="003C657F">
            <w:pPr>
              <w:jc w:val="center"/>
              <w:rPr>
                <w:rFonts w:cs="Calibri"/>
                <w:color w:val="000000"/>
              </w:rPr>
            </w:pPr>
          </w:p>
        </w:tc>
        <w:tc>
          <w:tcPr>
            <w:tcW w:w="1050" w:type="dxa"/>
            <w:shd w:val="clear" w:color="000000" w:fill="FFFF00"/>
            <w:noWrap/>
            <w:vAlign w:val="center"/>
          </w:tcPr>
          <w:p w14:paraId="757F9EC4" w14:textId="56713C98" w:rsidR="00D0328A" w:rsidRPr="00AE21A7" w:rsidRDefault="00D0328A" w:rsidP="003C657F">
            <w:pPr>
              <w:jc w:val="center"/>
              <w:rPr>
                <w:rFonts w:cs="Calibri"/>
                <w:color w:val="000000"/>
              </w:rPr>
            </w:pPr>
            <w:r w:rsidRPr="00AE21A7">
              <w:rPr>
                <w:rFonts w:cs="Calibri"/>
                <w:color w:val="000000"/>
              </w:rPr>
              <w:t>1</w:t>
            </w:r>
          </w:p>
        </w:tc>
      </w:tr>
      <w:tr w:rsidR="00B07E2B" w:rsidRPr="00AC6DE1" w14:paraId="50C56B1B" w14:textId="77777777" w:rsidTr="00DA3E74">
        <w:trPr>
          <w:trHeight w:val="300"/>
        </w:trPr>
        <w:tc>
          <w:tcPr>
            <w:tcW w:w="4254" w:type="dxa"/>
            <w:shd w:val="clear" w:color="auto" w:fill="auto"/>
            <w:noWrap/>
            <w:vAlign w:val="bottom"/>
          </w:tcPr>
          <w:p w14:paraId="5C5E1B96" w14:textId="3BC58B42" w:rsidR="00B07E2B" w:rsidRPr="00AC6DE1" w:rsidRDefault="00B07E2B" w:rsidP="000F0A7A">
            <w:pPr>
              <w:ind w:left="291"/>
              <w:rPr>
                <w:rFonts w:cs="Calibri"/>
                <w:color w:val="000000"/>
              </w:rPr>
            </w:pPr>
            <w:r>
              <w:rPr>
                <w:rFonts w:cs="Calibri"/>
                <w:color w:val="000000"/>
              </w:rPr>
              <w:t>Za základní školou</w:t>
            </w:r>
          </w:p>
        </w:tc>
        <w:tc>
          <w:tcPr>
            <w:tcW w:w="973" w:type="dxa"/>
            <w:shd w:val="clear" w:color="000000" w:fill="95B3D7"/>
            <w:noWrap/>
            <w:vAlign w:val="center"/>
          </w:tcPr>
          <w:p w14:paraId="21552701" w14:textId="247C32ED" w:rsidR="00B07E2B" w:rsidRPr="00AE21A7" w:rsidRDefault="00B07E2B" w:rsidP="003C657F">
            <w:pPr>
              <w:jc w:val="center"/>
              <w:rPr>
                <w:rFonts w:cs="Calibri"/>
                <w:color w:val="000000"/>
              </w:rPr>
            </w:pPr>
            <w:r>
              <w:rPr>
                <w:rFonts w:cs="Calibri"/>
                <w:color w:val="000000"/>
              </w:rPr>
              <w:t>1</w:t>
            </w:r>
          </w:p>
        </w:tc>
        <w:tc>
          <w:tcPr>
            <w:tcW w:w="973" w:type="dxa"/>
            <w:shd w:val="clear" w:color="000000" w:fill="92D050"/>
            <w:noWrap/>
            <w:vAlign w:val="center"/>
          </w:tcPr>
          <w:p w14:paraId="5AC61F36" w14:textId="77777777" w:rsidR="00B07E2B" w:rsidRPr="00AE21A7" w:rsidRDefault="00B07E2B" w:rsidP="003C657F">
            <w:pPr>
              <w:jc w:val="center"/>
              <w:rPr>
                <w:rFonts w:cs="Calibri"/>
                <w:color w:val="000000"/>
              </w:rPr>
            </w:pPr>
          </w:p>
        </w:tc>
        <w:tc>
          <w:tcPr>
            <w:tcW w:w="973" w:type="dxa"/>
            <w:shd w:val="clear" w:color="auto" w:fill="auto"/>
            <w:noWrap/>
            <w:vAlign w:val="center"/>
          </w:tcPr>
          <w:p w14:paraId="7DA85040" w14:textId="77777777" w:rsidR="00B07E2B" w:rsidRPr="00AE21A7" w:rsidRDefault="00B07E2B" w:rsidP="003C657F">
            <w:pPr>
              <w:jc w:val="center"/>
              <w:rPr>
                <w:rFonts w:cs="Calibri"/>
                <w:color w:val="000000"/>
              </w:rPr>
            </w:pPr>
          </w:p>
        </w:tc>
        <w:tc>
          <w:tcPr>
            <w:tcW w:w="974" w:type="dxa"/>
            <w:shd w:val="clear" w:color="000000" w:fill="FABF8F"/>
            <w:noWrap/>
            <w:vAlign w:val="center"/>
          </w:tcPr>
          <w:p w14:paraId="3D1BAE32" w14:textId="550758EB" w:rsidR="00B07E2B" w:rsidRPr="00AE21A7" w:rsidRDefault="00B07E2B" w:rsidP="003C657F">
            <w:pPr>
              <w:jc w:val="center"/>
              <w:rPr>
                <w:rFonts w:cs="Calibri"/>
                <w:color w:val="000000"/>
              </w:rPr>
            </w:pPr>
            <w:r>
              <w:rPr>
                <w:rFonts w:cs="Calibri"/>
                <w:color w:val="000000"/>
              </w:rPr>
              <w:t>1</w:t>
            </w:r>
          </w:p>
        </w:tc>
        <w:tc>
          <w:tcPr>
            <w:tcW w:w="1112" w:type="dxa"/>
            <w:shd w:val="clear" w:color="auto" w:fill="auto"/>
            <w:noWrap/>
            <w:vAlign w:val="center"/>
          </w:tcPr>
          <w:p w14:paraId="69F6933F" w14:textId="77777777" w:rsidR="00B07E2B" w:rsidRPr="00AE21A7" w:rsidRDefault="00B07E2B" w:rsidP="003C657F">
            <w:pPr>
              <w:jc w:val="center"/>
              <w:rPr>
                <w:rFonts w:cs="Calibri"/>
                <w:color w:val="000000"/>
              </w:rPr>
            </w:pPr>
          </w:p>
        </w:tc>
        <w:tc>
          <w:tcPr>
            <w:tcW w:w="961" w:type="dxa"/>
            <w:shd w:val="clear" w:color="auto" w:fill="auto"/>
            <w:noWrap/>
            <w:vAlign w:val="center"/>
          </w:tcPr>
          <w:p w14:paraId="337BC4FC" w14:textId="77777777" w:rsidR="00B07E2B" w:rsidRPr="00AE21A7" w:rsidRDefault="00B07E2B" w:rsidP="003C657F">
            <w:pPr>
              <w:jc w:val="center"/>
              <w:rPr>
                <w:rFonts w:cs="Calibri"/>
                <w:color w:val="000000"/>
              </w:rPr>
            </w:pPr>
          </w:p>
        </w:tc>
        <w:tc>
          <w:tcPr>
            <w:tcW w:w="909" w:type="dxa"/>
            <w:vAlign w:val="center"/>
          </w:tcPr>
          <w:p w14:paraId="2E40BD02" w14:textId="77777777" w:rsidR="00B07E2B" w:rsidRPr="00AE21A7" w:rsidRDefault="00B07E2B" w:rsidP="003C657F">
            <w:pPr>
              <w:jc w:val="center"/>
              <w:rPr>
                <w:rFonts w:cs="Calibri"/>
                <w:color w:val="000000"/>
              </w:rPr>
            </w:pPr>
          </w:p>
        </w:tc>
        <w:tc>
          <w:tcPr>
            <w:tcW w:w="998" w:type="dxa"/>
            <w:shd w:val="clear" w:color="auto" w:fill="BFBFBF" w:themeFill="background1" w:themeFillShade="BF"/>
            <w:noWrap/>
            <w:vAlign w:val="center"/>
          </w:tcPr>
          <w:p w14:paraId="049FB7D1" w14:textId="77777777" w:rsidR="00B07E2B" w:rsidRPr="00AE21A7" w:rsidRDefault="00B07E2B" w:rsidP="003C657F">
            <w:pPr>
              <w:jc w:val="center"/>
              <w:rPr>
                <w:rFonts w:cs="Calibri"/>
                <w:color w:val="000000"/>
              </w:rPr>
            </w:pPr>
          </w:p>
        </w:tc>
        <w:tc>
          <w:tcPr>
            <w:tcW w:w="910" w:type="dxa"/>
            <w:shd w:val="clear" w:color="auto" w:fill="auto"/>
            <w:noWrap/>
            <w:vAlign w:val="center"/>
          </w:tcPr>
          <w:p w14:paraId="7E5B8857" w14:textId="77777777" w:rsidR="00B07E2B" w:rsidRPr="00AE21A7" w:rsidRDefault="00B07E2B" w:rsidP="003C657F">
            <w:pPr>
              <w:jc w:val="center"/>
              <w:rPr>
                <w:rFonts w:cs="Calibri"/>
                <w:color w:val="000000"/>
              </w:rPr>
            </w:pPr>
          </w:p>
        </w:tc>
        <w:tc>
          <w:tcPr>
            <w:tcW w:w="914" w:type="dxa"/>
            <w:shd w:val="clear" w:color="auto" w:fill="auto"/>
            <w:noWrap/>
            <w:vAlign w:val="center"/>
          </w:tcPr>
          <w:p w14:paraId="188A7362" w14:textId="77777777" w:rsidR="00B07E2B" w:rsidRPr="00AE21A7" w:rsidRDefault="00B07E2B" w:rsidP="003C657F">
            <w:pPr>
              <w:jc w:val="center"/>
              <w:rPr>
                <w:rFonts w:cs="Calibri"/>
                <w:color w:val="000000"/>
              </w:rPr>
            </w:pPr>
          </w:p>
        </w:tc>
        <w:tc>
          <w:tcPr>
            <w:tcW w:w="1050" w:type="dxa"/>
            <w:shd w:val="clear" w:color="000000" w:fill="FFFF00"/>
            <w:noWrap/>
            <w:vAlign w:val="center"/>
          </w:tcPr>
          <w:p w14:paraId="12794129" w14:textId="77777777" w:rsidR="00B07E2B" w:rsidRPr="00AE21A7" w:rsidRDefault="00B07E2B" w:rsidP="003C657F">
            <w:pPr>
              <w:jc w:val="center"/>
              <w:rPr>
                <w:rFonts w:cs="Calibri"/>
                <w:color w:val="000000"/>
              </w:rPr>
            </w:pPr>
          </w:p>
        </w:tc>
      </w:tr>
      <w:tr w:rsidR="00D0328A" w:rsidRPr="00AC6DE1" w14:paraId="434EFCED" w14:textId="77777777" w:rsidTr="00111C15">
        <w:trPr>
          <w:trHeight w:val="300"/>
        </w:trPr>
        <w:tc>
          <w:tcPr>
            <w:tcW w:w="15013" w:type="dxa"/>
            <w:gridSpan w:val="12"/>
          </w:tcPr>
          <w:p w14:paraId="247BFABD" w14:textId="49C7DA13" w:rsidR="00D0328A" w:rsidRPr="00AC6DE1" w:rsidRDefault="00D0328A" w:rsidP="0081597C">
            <w:pPr>
              <w:rPr>
                <w:rFonts w:cs="Calibri"/>
                <w:color w:val="000000"/>
              </w:rPr>
            </w:pPr>
            <w:r w:rsidRPr="0081597C">
              <w:rPr>
                <w:rFonts w:cs="Calibri"/>
                <w:b/>
                <w:bCs/>
                <w:color w:val="000000"/>
              </w:rPr>
              <w:t>Kamenička</w:t>
            </w:r>
          </w:p>
        </w:tc>
      </w:tr>
      <w:tr w:rsidR="00D0328A" w:rsidRPr="00AC6DE1" w14:paraId="5604613D" w14:textId="77777777" w:rsidTr="00DA3E74">
        <w:trPr>
          <w:trHeight w:val="300"/>
        </w:trPr>
        <w:tc>
          <w:tcPr>
            <w:tcW w:w="4254" w:type="dxa"/>
            <w:shd w:val="clear" w:color="auto" w:fill="auto"/>
            <w:noWrap/>
            <w:vAlign w:val="bottom"/>
            <w:hideMark/>
          </w:tcPr>
          <w:p w14:paraId="40E9A1CB" w14:textId="10EF4E26" w:rsidR="00D0328A" w:rsidRPr="0081597C" w:rsidRDefault="00D0328A" w:rsidP="000F0A7A">
            <w:pPr>
              <w:ind w:left="291"/>
              <w:rPr>
                <w:rFonts w:cs="Calibri"/>
                <w:color w:val="000000"/>
              </w:rPr>
            </w:pPr>
            <w:r w:rsidRPr="0081597C">
              <w:rPr>
                <w:rFonts w:cs="Calibri"/>
                <w:color w:val="000000"/>
              </w:rPr>
              <w:t>Náves</w:t>
            </w:r>
          </w:p>
        </w:tc>
        <w:tc>
          <w:tcPr>
            <w:tcW w:w="973" w:type="dxa"/>
            <w:shd w:val="clear" w:color="000000" w:fill="95B3D7"/>
            <w:noWrap/>
            <w:vAlign w:val="center"/>
            <w:hideMark/>
          </w:tcPr>
          <w:p w14:paraId="5DF0AFC7" w14:textId="77777777" w:rsidR="00D0328A" w:rsidRPr="00AE21A7" w:rsidRDefault="00D0328A" w:rsidP="0081597C">
            <w:pPr>
              <w:jc w:val="center"/>
              <w:rPr>
                <w:rFonts w:cs="Calibri"/>
                <w:color w:val="000000"/>
              </w:rPr>
            </w:pPr>
            <w:r w:rsidRPr="00AE21A7">
              <w:rPr>
                <w:rFonts w:cs="Calibri"/>
                <w:color w:val="000000"/>
              </w:rPr>
              <w:t>2</w:t>
            </w:r>
          </w:p>
        </w:tc>
        <w:tc>
          <w:tcPr>
            <w:tcW w:w="973" w:type="dxa"/>
            <w:shd w:val="clear" w:color="000000" w:fill="92D050"/>
            <w:noWrap/>
            <w:vAlign w:val="center"/>
            <w:hideMark/>
          </w:tcPr>
          <w:p w14:paraId="7594469F"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auto" w:fill="auto"/>
            <w:noWrap/>
            <w:vAlign w:val="center"/>
            <w:hideMark/>
          </w:tcPr>
          <w:p w14:paraId="54664017"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71B595C8" w14:textId="77777777" w:rsidR="00D0328A" w:rsidRPr="00AE21A7" w:rsidRDefault="00D0328A" w:rsidP="0081597C">
            <w:pPr>
              <w:jc w:val="center"/>
              <w:rPr>
                <w:rFonts w:cs="Calibri"/>
                <w:color w:val="000000"/>
              </w:rPr>
            </w:pPr>
            <w:r w:rsidRPr="00AE21A7">
              <w:rPr>
                <w:rFonts w:cs="Calibri"/>
                <w:color w:val="000000"/>
              </w:rPr>
              <w:t>1</w:t>
            </w:r>
          </w:p>
        </w:tc>
        <w:tc>
          <w:tcPr>
            <w:tcW w:w="1112" w:type="dxa"/>
            <w:shd w:val="clear" w:color="auto" w:fill="auto"/>
            <w:noWrap/>
            <w:vAlign w:val="center"/>
            <w:hideMark/>
          </w:tcPr>
          <w:p w14:paraId="5E401B48"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5C637C49"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03236E66" w14:textId="77777777" w:rsidR="00D0328A" w:rsidRPr="00AE21A7" w:rsidRDefault="00D0328A" w:rsidP="0081597C">
            <w:pPr>
              <w:rPr>
                <w:rFonts w:cs="Calibri"/>
                <w:color w:val="000000"/>
              </w:rPr>
            </w:pPr>
          </w:p>
        </w:tc>
        <w:tc>
          <w:tcPr>
            <w:tcW w:w="998" w:type="dxa"/>
            <w:shd w:val="clear" w:color="auto" w:fill="BFBFBF" w:themeFill="background1" w:themeFillShade="BF"/>
            <w:noWrap/>
            <w:vAlign w:val="center"/>
            <w:hideMark/>
          </w:tcPr>
          <w:p w14:paraId="6FA3E245" w14:textId="637E6632" w:rsidR="00D0328A" w:rsidRPr="00AE21A7" w:rsidRDefault="00D0328A" w:rsidP="0081597C">
            <w:pPr>
              <w:rPr>
                <w:rFonts w:cs="Calibri"/>
                <w:color w:val="000000"/>
              </w:rPr>
            </w:pPr>
            <w:r w:rsidRPr="00AE21A7">
              <w:rPr>
                <w:rFonts w:cs="Calibri"/>
                <w:color w:val="000000"/>
              </w:rPr>
              <w:t> </w:t>
            </w:r>
          </w:p>
        </w:tc>
        <w:tc>
          <w:tcPr>
            <w:tcW w:w="910" w:type="dxa"/>
            <w:shd w:val="clear" w:color="auto" w:fill="auto"/>
            <w:noWrap/>
            <w:vAlign w:val="center"/>
            <w:hideMark/>
          </w:tcPr>
          <w:p w14:paraId="7D2C6487" w14:textId="77777777" w:rsidR="00D0328A" w:rsidRPr="00AE21A7" w:rsidRDefault="00D0328A" w:rsidP="0081597C">
            <w:pPr>
              <w:rPr>
                <w:rFonts w:cs="Calibri"/>
                <w:color w:val="000000"/>
              </w:rPr>
            </w:pPr>
            <w:r w:rsidRPr="00AE21A7">
              <w:rPr>
                <w:rFonts w:cs="Calibri"/>
                <w:color w:val="000000"/>
              </w:rPr>
              <w:t> </w:t>
            </w:r>
          </w:p>
        </w:tc>
        <w:tc>
          <w:tcPr>
            <w:tcW w:w="914" w:type="dxa"/>
            <w:shd w:val="clear" w:color="auto" w:fill="auto"/>
            <w:noWrap/>
            <w:vAlign w:val="center"/>
            <w:hideMark/>
          </w:tcPr>
          <w:p w14:paraId="2B198BCD" w14:textId="77777777" w:rsidR="00D0328A" w:rsidRPr="00AE21A7" w:rsidRDefault="00D0328A" w:rsidP="0081597C">
            <w:pPr>
              <w:rPr>
                <w:rFonts w:cs="Calibri"/>
                <w:color w:val="000000"/>
              </w:rPr>
            </w:pPr>
            <w:r w:rsidRPr="00AE21A7">
              <w:rPr>
                <w:rFonts w:cs="Calibri"/>
                <w:color w:val="000000"/>
              </w:rPr>
              <w:t> </w:t>
            </w:r>
          </w:p>
        </w:tc>
        <w:tc>
          <w:tcPr>
            <w:tcW w:w="1050" w:type="dxa"/>
            <w:shd w:val="clear" w:color="000000" w:fill="FFFF00"/>
            <w:noWrap/>
            <w:vAlign w:val="center"/>
            <w:hideMark/>
          </w:tcPr>
          <w:p w14:paraId="0E14FB96" w14:textId="77777777" w:rsidR="00D0328A" w:rsidRPr="00AE21A7" w:rsidRDefault="00D0328A" w:rsidP="0081597C">
            <w:pPr>
              <w:rPr>
                <w:rFonts w:cs="Calibri"/>
                <w:color w:val="000000"/>
              </w:rPr>
            </w:pPr>
            <w:r w:rsidRPr="00AE21A7">
              <w:rPr>
                <w:rFonts w:cs="Calibri"/>
                <w:color w:val="000000"/>
              </w:rPr>
              <w:t> </w:t>
            </w:r>
          </w:p>
        </w:tc>
      </w:tr>
      <w:tr w:rsidR="000852D7" w:rsidRPr="00AC6DE1" w14:paraId="7A704398" w14:textId="77777777" w:rsidTr="00DA3E74">
        <w:trPr>
          <w:trHeight w:val="300"/>
        </w:trPr>
        <w:tc>
          <w:tcPr>
            <w:tcW w:w="4254" w:type="dxa"/>
            <w:shd w:val="clear" w:color="auto" w:fill="auto"/>
            <w:noWrap/>
            <w:vAlign w:val="bottom"/>
          </w:tcPr>
          <w:p w14:paraId="2374FA04" w14:textId="0724904E" w:rsidR="000852D7" w:rsidRPr="0081597C" w:rsidRDefault="000852D7" w:rsidP="000F0A7A">
            <w:pPr>
              <w:ind w:left="291"/>
              <w:rPr>
                <w:rFonts w:cs="Calibri"/>
                <w:color w:val="000000"/>
              </w:rPr>
            </w:pPr>
            <w:r>
              <w:rPr>
                <w:rFonts w:cs="Calibri"/>
                <w:color w:val="000000"/>
              </w:rPr>
              <w:t xml:space="preserve">U </w:t>
            </w:r>
            <w:r w:rsidR="00DA3E74">
              <w:rPr>
                <w:rFonts w:cs="Calibri"/>
                <w:color w:val="000000"/>
              </w:rPr>
              <w:t>hřiště</w:t>
            </w:r>
          </w:p>
        </w:tc>
        <w:tc>
          <w:tcPr>
            <w:tcW w:w="973" w:type="dxa"/>
            <w:shd w:val="clear" w:color="000000" w:fill="95B3D7"/>
            <w:noWrap/>
            <w:vAlign w:val="center"/>
          </w:tcPr>
          <w:p w14:paraId="59A82F30" w14:textId="77777777" w:rsidR="000852D7" w:rsidRPr="00AE21A7" w:rsidRDefault="000852D7" w:rsidP="0081597C">
            <w:pPr>
              <w:jc w:val="center"/>
              <w:rPr>
                <w:rFonts w:cs="Calibri"/>
                <w:color w:val="000000"/>
              </w:rPr>
            </w:pPr>
          </w:p>
        </w:tc>
        <w:tc>
          <w:tcPr>
            <w:tcW w:w="973" w:type="dxa"/>
            <w:shd w:val="clear" w:color="000000" w:fill="92D050"/>
            <w:noWrap/>
            <w:vAlign w:val="center"/>
          </w:tcPr>
          <w:p w14:paraId="24272612" w14:textId="77777777" w:rsidR="000852D7" w:rsidRPr="00AE21A7" w:rsidRDefault="000852D7" w:rsidP="0081597C">
            <w:pPr>
              <w:jc w:val="center"/>
              <w:rPr>
                <w:rFonts w:cs="Calibri"/>
                <w:color w:val="000000"/>
              </w:rPr>
            </w:pPr>
          </w:p>
        </w:tc>
        <w:tc>
          <w:tcPr>
            <w:tcW w:w="973" w:type="dxa"/>
            <w:shd w:val="clear" w:color="auto" w:fill="auto"/>
            <w:noWrap/>
            <w:vAlign w:val="center"/>
          </w:tcPr>
          <w:p w14:paraId="0CEC4E05" w14:textId="77777777" w:rsidR="000852D7" w:rsidRPr="00AE21A7" w:rsidRDefault="000852D7" w:rsidP="0081597C">
            <w:pPr>
              <w:jc w:val="center"/>
              <w:rPr>
                <w:rFonts w:cs="Calibri"/>
                <w:color w:val="000000"/>
              </w:rPr>
            </w:pPr>
          </w:p>
        </w:tc>
        <w:tc>
          <w:tcPr>
            <w:tcW w:w="974" w:type="dxa"/>
            <w:shd w:val="clear" w:color="000000" w:fill="FABF8F"/>
            <w:noWrap/>
            <w:vAlign w:val="center"/>
          </w:tcPr>
          <w:p w14:paraId="6079C23F" w14:textId="09496BE4" w:rsidR="000852D7" w:rsidRPr="00AE21A7" w:rsidRDefault="00DA3E74" w:rsidP="0081597C">
            <w:pPr>
              <w:jc w:val="center"/>
              <w:rPr>
                <w:rFonts w:cs="Calibri"/>
                <w:color w:val="000000"/>
              </w:rPr>
            </w:pPr>
            <w:r>
              <w:rPr>
                <w:rFonts w:cs="Calibri"/>
                <w:color w:val="000000"/>
              </w:rPr>
              <w:t>1</w:t>
            </w:r>
          </w:p>
        </w:tc>
        <w:tc>
          <w:tcPr>
            <w:tcW w:w="1112" w:type="dxa"/>
            <w:shd w:val="clear" w:color="auto" w:fill="auto"/>
            <w:noWrap/>
            <w:vAlign w:val="center"/>
          </w:tcPr>
          <w:p w14:paraId="3A1DE013" w14:textId="77777777" w:rsidR="000852D7" w:rsidRPr="00AE21A7" w:rsidRDefault="000852D7" w:rsidP="0081597C">
            <w:pPr>
              <w:jc w:val="center"/>
              <w:rPr>
                <w:rFonts w:cs="Calibri"/>
                <w:color w:val="000000"/>
              </w:rPr>
            </w:pPr>
          </w:p>
        </w:tc>
        <w:tc>
          <w:tcPr>
            <w:tcW w:w="961" w:type="dxa"/>
            <w:shd w:val="clear" w:color="auto" w:fill="auto"/>
            <w:noWrap/>
            <w:vAlign w:val="center"/>
          </w:tcPr>
          <w:p w14:paraId="272A160A" w14:textId="77777777" w:rsidR="000852D7" w:rsidRPr="00AE21A7" w:rsidRDefault="000852D7" w:rsidP="0081597C">
            <w:pPr>
              <w:jc w:val="center"/>
              <w:rPr>
                <w:rFonts w:cs="Calibri"/>
                <w:color w:val="000000"/>
              </w:rPr>
            </w:pPr>
          </w:p>
        </w:tc>
        <w:tc>
          <w:tcPr>
            <w:tcW w:w="909" w:type="dxa"/>
            <w:vAlign w:val="center"/>
          </w:tcPr>
          <w:p w14:paraId="149C4F02" w14:textId="41C42B38" w:rsidR="000852D7" w:rsidRPr="00AE21A7" w:rsidRDefault="000852D7" w:rsidP="000852D7">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tcPr>
          <w:p w14:paraId="4B8FBD3E" w14:textId="77777777" w:rsidR="000852D7" w:rsidRPr="00AE21A7" w:rsidRDefault="000852D7" w:rsidP="0081597C">
            <w:pPr>
              <w:rPr>
                <w:rFonts w:cs="Calibri"/>
                <w:color w:val="000000"/>
              </w:rPr>
            </w:pPr>
          </w:p>
        </w:tc>
        <w:tc>
          <w:tcPr>
            <w:tcW w:w="910" w:type="dxa"/>
            <w:shd w:val="clear" w:color="auto" w:fill="auto"/>
            <w:noWrap/>
            <w:vAlign w:val="center"/>
          </w:tcPr>
          <w:p w14:paraId="645BD23B" w14:textId="77777777" w:rsidR="000852D7" w:rsidRPr="00AE21A7" w:rsidRDefault="000852D7" w:rsidP="0081597C">
            <w:pPr>
              <w:rPr>
                <w:rFonts w:cs="Calibri"/>
                <w:color w:val="000000"/>
              </w:rPr>
            </w:pPr>
          </w:p>
        </w:tc>
        <w:tc>
          <w:tcPr>
            <w:tcW w:w="914" w:type="dxa"/>
            <w:shd w:val="clear" w:color="auto" w:fill="auto"/>
            <w:noWrap/>
            <w:vAlign w:val="center"/>
          </w:tcPr>
          <w:p w14:paraId="319D120D" w14:textId="77777777" w:rsidR="000852D7" w:rsidRPr="00AE21A7" w:rsidRDefault="000852D7" w:rsidP="0081597C">
            <w:pPr>
              <w:rPr>
                <w:rFonts w:cs="Calibri"/>
                <w:color w:val="000000"/>
              </w:rPr>
            </w:pPr>
          </w:p>
        </w:tc>
        <w:tc>
          <w:tcPr>
            <w:tcW w:w="1050" w:type="dxa"/>
            <w:shd w:val="clear" w:color="000000" w:fill="FFFF00"/>
            <w:noWrap/>
            <w:vAlign w:val="center"/>
          </w:tcPr>
          <w:p w14:paraId="71CA56C9" w14:textId="77777777" w:rsidR="000852D7" w:rsidRPr="00AE21A7" w:rsidRDefault="000852D7" w:rsidP="0081597C">
            <w:pPr>
              <w:rPr>
                <w:rFonts w:cs="Calibri"/>
                <w:color w:val="000000"/>
              </w:rPr>
            </w:pPr>
          </w:p>
        </w:tc>
      </w:tr>
      <w:tr w:rsidR="00D0328A" w:rsidRPr="00AC6DE1" w14:paraId="55B465D7" w14:textId="77777777" w:rsidTr="00111C15">
        <w:trPr>
          <w:trHeight w:val="300"/>
        </w:trPr>
        <w:tc>
          <w:tcPr>
            <w:tcW w:w="15013" w:type="dxa"/>
            <w:gridSpan w:val="12"/>
          </w:tcPr>
          <w:p w14:paraId="70F081E7" w14:textId="014EF78E" w:rsidR="00D0328A" w:rsidRPr="00AC6DE1" w:rsidRDefault="00D0328A" w:rsidP="0081597C">
            <w:pPr>
              <w:rPr>
                <w:rFonts w:cs="Calibri"/>
                <w:color w:val="000000"/>
              </w:rPr>
            </w:pPr>
            <w:r>
              <w:rPr>
                <w:rFonts w:cs="Calibri"/>
                <w:b/>
                <w:bCs/>
                <w:color w:val="000000"/>
              </w:rPr>
              <w:t>Řehořov</w:t>
            </w:r>
          </w:p>
        </w:tc>
      </w:tr>
      <w:tr w:rsidR="00D0328A" w:rsidRPr="00AC6DE1" w14:paraId="6C73D21A" w14:textId="77777777" w:rsidTr="00DA3E74">
        <w:trPr>
          <w:trHeight w:val="300"/>
        </w:trPr>
        <w:tc>
          <w:tcPr>
            <w:tcW w:w="4254" w:type="dxa"/>
            <w:shd w:val="clear" w:color="auto" w:fill="auto"/>
            <w:noWrap/>
            <w:vAlign w:val="bottom"/>
            <w:hideMark/>
          </w:tcPr>
          <w:p w14:paraId="1211454A" w14:textId="1733B101" w:rsidR="00D0328A" w:rsidRPr="0081597C" w:rsidRDefault="00DA3E74" w:rsidP="000F0A7A">
            <w:pPr>
              <w:ind w:left="291"/>
              <w:rPr>
                <w:rFonts w:cs="Calibri"/>
                <w:color w:val="000000"/>
              </w:rPr>
            </w:pPr>
            <w:r>
              <w:rPr>
                <w:rFonts w:cs="Calibri"/>
                <w:color w:val="000000"/>
              </w:rPr>
              <w:t>U autobusové zastávky na návsi</w:t>
            </w:r>
          </w:p>
        </w:tc>
        <w:tc>
          <w:tcPr>
            <w:tcW w:w="973" w:type="dxa"/>
            <w:shd w:val="clear" w:color="000000" w:fill="95B3D7"/>
            <w:noWrap/>
            <w:vAlign w:val="center"/>
            <w:hideMark/>
          </w:tcPr>
          <w:p w14:paraId="3B9BDD62"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6588C69A" w14:textId="77777777" w:rsidR="00D0328A" w:rsidRPr="00AE21A7" w:rsidRDefault="00D0328A" w:rsidP="0081597C">
            <w:pPr>
              <w:jc w:val="center"/>
              <w:rPr>
                <w:rFonts w:cs="Calibri"/>
                <w:color w:val="000000"/>
              </w:rPr>
            </w:pPr>
            <w:r w:rsidRPr="00AE21A7">
              <w:rPr>
                <w:rFonts w:cs="Calibri"/>
                <w:color w:val="000000"/>
              </w:rPr>
              <w:t>2</w:t>
            </w:r>
          </w:p>
        </w:tc>
        <w:tc>
          <w:tcPr>
            <w:tcW w:w="973" w:type="dxa"/>
            <w:shd w:val="clear" w:color="auto" w:fill="auto"/>
            <w:noWrap/>
            <w:vAlign w:val="center"/>
            <w:hideMark/>
          </w:tcPr>
          <w:p w14:paraId="4B37DF28"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3978D9DF" w14:textId="77777777" w:rsidR="00D0328A" w:rsidRPr="00AE21A7" w:rsidRDefault="00D0328A" w:rsidP="0081597C">
            <w:pPr>
              <w:jc w:val="center"/>
              <w:rPr>
                <w:rFonts w:cs="Calibri"/>
                <w:color w:val="000000"/>
              </w:rPr>
            </w:pPr>
            <w:r w:rsidRPr="00AE21A7">
              <w:rPr>
                <w:rFonts w:cs="Calibri"/>
                <w:color w:val="000000"/>
              </w:rPr>
              <w:t>2</w:t>
            </w:r>
          </w:p>
        </w:tc>
        <w:tc>
          <w:tcPr>
            <w:tcW w:w="1112" w:type="dxa"/>
            <w:shd w:val="clear" w:color="auto" w:fill="auto"/>
            <w:noWrap/>
            <w:vAlign w:val="center"/>
            <w:hideMark/>
          </w:tcPr>
          <w:p w14:paraId="6C4B1FC5"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190EA7A7"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30B574AC" w14:textId="77777777" w:rsidR="00D0328A" w:rsidRPr="00AE21A7" w:rsidRDefault="00D0328A" w:rsidP="0081597C">
            <w:pPr>
              <w:jc w:val="center"/>
              <w:rPr>
                <w:rFonts w:cs="Calibri"/>
                <w:color w:val="000000"/>
              </w:rPr>
            </w:pPr>
          </w:p>
        </w:tc>
        <w:tc>
          <w:tcPr>
            <w:tcW w:w="998" w:type="dxa"/>
            <w:shd w:val="clear" w:color="auto" w:fill="BFBFBF" w:themeFill="background1" w:themeFillShade="BF"/>
            <w:noWrap/>
            <w:vAlign w:val="center"/>
            <w:hideMark/>
          </w:tcPr>
          <w:p w14:paraId="62427879" w14:textId="1DC52F54" w:rsidR="00D0328A" w:rsidRPr="00AE21A7" w:rsidRDefault="00D0328A" w:rsidP="0081597C">
            <w:pPr>
              <w:jc w:val="center"/>
              <w:rPr>
                <w:rFonts w:cs="Calibri"/>
                <w:color w:val="000000"/>
              </w:rPr>
            </w:pPr>
            <w:r w:rsidRPr="00AE21A7">
              <w:rPr>
                <w:rFonts w:cs="Calibri"/>
                <w:color w:val="000000"/>
              </w:rPr>
              <w:t> </w:t>
            </w:r>
          </w:p>
        </w:tc>
        <w:tc>
          <w:tcPr>
            <w:tcW w:w="910" w:type="dxa"/>
            <w:shd w:val="clear" w:color="auto" w:fill="auto"/>
            <w:noWrap/>
            <w:vAlign w:val="center"/>
            <w:hideMark/>
          </w:tcPr>
          <w:p w14:paraId="2B14ACC0" w14:textId="77777777" w:rsidR="00D0328A" w:rsidRPr="00AE21A7" w:rsidRDefault="00D0328A" w:rsidP="0081597C">
            <w:pPr>
              <w:jc w:val="center"/>
              <w:rPr>
                <w:rFonts w:cs="Calibri"/>
                <w:color w:val="000000"/>
              </w:rPr>
            </w:pPr>
            <w:r w:rsidRPr="00AE21A7">
              <w:rPr>
                <w:rFonts w:cs="Calibri"/>
                <w:color w:val="000000"/>
              </w:rPr>
              <w:t>1</w:t>
            </w:r>
          </w:p>
        </w:tc>
        <w:tc>
          <w:tcPr>
            <w:tcW w:w="914" w:type="dxa"/>
            <w:shd w:val="clear" w:color="auto" w:fill="auto"/>
            <w:noWrap/>
            <w:vAlign w:val="center"/>
            <w:hideMark/>
          </w:tcPr>
          <w:p w14:paraId="5333FFB7" w14:textId="77777777" w:rsidR="00D0328A" w:rsidRPr="00AE21A7" w:rsidRDefault="00D0328A" w:rsidP="0081597C">
            <w:pPr>
              <w:rPr>
                <w:rFonts w:cs="Calibri"/>
                <w:color w:val="000000"/>
              </w:rPr>
            </w:pPr>
            <w:r w:rsidRPr="00AE21A7">
              <w:rPr>
                <w:rFonts w:cs="Calibri"/>
                <w:color w:val="000000"/>
              </w:rPr>
              <w:t> </w:t>
            </w:r>
          </w:p>
        </w:tc>
        <w:tc>
          <w:tcPr>
            <w:tcW w:w="1050" w:type="dxa"/>
            <w:shd w:val="clear" w:color="000000" w:fill="FFFF00"/>
            <w:noWrap/>
            <w:vAlign w:val="center"/>
            <w:hideMark/>
          </w:tcPr>
          <w:p w14:paraId="0CE5F1A4" w14:textId="77777777" w:rsidR="00D0328A" w:rsidRPr="00AE21A7" w:rsidRDefault="00D0328A" w:rsidP="0081597C">
            <w:pPr>
              <w:rPr>
                <w:rFonts w:cs="Calibri"/>
                <w:color w:val="000000"/>
              </w:rPr>
            </w:pPr>
            <w:r w:rsidRPr="00AE21A7">
              <w:rPr>
                <w:rFonts w:cs="Calibri"/>
                <w:color w:val="000000"/>
              </w:rPr>
              <w:t> </w:t>
            </w:r>
          </w:p>
        </w:tc>
      </w:tr>
      <w:tr w:rsidR="000852D7" w:rsidRPr="00AC6DE1" w14:paraId="513329C1" w14:textId="77777777" w:rsidTr="00DA3E74">
        <w:trPr>
          <w:trHeight w:val="300"/>
        </w:trPr>
        <w:tc>
          <w:tcPr>
            <w:tcW w:w="4254" w:type="dxa"/>
            <w:shd w:val="clear" w:color="auto" w:fill="auto"/>
            <w:noWrap/>
            <w:vAlign w:val="bottom"/>
          </w:tcPr>
          <w:p w14:paraId="62675188" w14:textId="44644433" w:rsidR="000852D7" w:rsidRPr="0081597C" w:rsidRDefault="000852D7" w:rsidP="000F0A7A">
            <w:pPr>
              <w:ind w:left="291"/>
              <w:rPr>
                <w:rFonts w:cs="Calibri"/>
                <w:color w:val="000000"/>
              </w:rPr>
            </w:pPr>
            <w:r>
              <w:rPr>
                <w:rFonts w:cs="Calibri"/>
                <w:color w:val="000000"/>
              </w:rPr>
              <w:t>U hřiště</w:t>
            </w:r>
          </w:p>
        </w:tc>
        <w:tc>
          <w:tcPr>
            <w:tcW w:w="973" w:type="dxa"/>
            <w:shd w:val="clear" w:color="000000" w:fill="95B3D7"/>
            <w:noWrap/>
            <w:vAlign w:val="center"/>
          </w:tcPr>
          <w:p w14:paraId="30AFB3A3" w14:textId="77777777" w:rsidR="000852D7" w:rsidRPr="00AE21A7" w:rsidRDefault="000852D7" w:rsidP="0081597C">
            <w:pPr>
              <w:jc w:val="center"/>
              <w:rPr>
                <w:rFonts w:cs="Calibri"/>
                <w:color w:val="000000"/>
              </w:rPr>
            </w:pPr>
          </w:p>
        </w:tc>
        <w:tc>
          <w:tcPr>
            <w:tcW w:w="973" w:type="dxa"/>
            <w:shd w:val="clear" w:color="000000" w:fill="92D050"/>
            <w:noWrap/>
            <w:vAlign w:val="center"/>
          </w:tcPr>
          <w:p w14:paraId="5F8B36E6" w14:textId="77777777" w:rsidR="000852D7" w:rsidRPr="00AE21A7" w:rsidRDefault="000852D7" w:rsidP="0081597C">
            <w:pPr>
              <w:jc w:val="center"/>
              <w:rPr>
                <w:rFonts w:cs="Calibri"/>
                <w:color w:val="000000"/>
              </w:rPr>
            </w:pPr>
          </w:p>
        </w:tc>
        <w:tc>
          <w:tcPr>
            <w:tcW w:w="973" w:type="dxa"/>
            <w:shd w:val="clear" w:color="auto" w:fill="auto"/>
            <w:noWrap/>
            <w:vAlign w:val="center"/>
          </w:tcPr>
          <w:p w14:paraId="7AC608B7" w14:textId="77777777" w:rsidR="000852D7" w:rsidRPr="00AE21A7" w:rsidRDefault="000852D7" w:rsidP="0081597C">
            <w:pPr>
              <w:jc w:val="center"/>
              <w:rPr>
                <w:rFonts w:cs="Calibri"/>
                <w:color w:val="000000"/>
              </w:rPr>
            </w:pPr>
          </w:p>
        </w:tc>
        <w:tc>
          <w:tcPr>
            <w:tcW w:w="974" w:type="dxa"/>
            <w:shd w:val="clear" w:color="000000" w:fill="FABF8F"/>
            <w:noWrap/>
            <w:vAlign w:val="center"/>
          </w:tcPr>
          <w:p w14:paraId="1A495BA7" w14:textId="77777777" w:rsidR="000852D7" w:rsidRPr="00AE21A7" w:rsidRDefault="000852D7" w:rsidP="0081597C">
            <w:pPr>
              <w:jc w:val="center"/>
              <w:rPr>
                <w:rFonts w:cs="Calibri"/>
                <w:color w:val="000000"/>
              </w:rPr>
            </w:pPr>
          </w:p>
        </w:tc>
        <w:tc>
          <w:tcPr>
            <w:tcW w:w="1112" w:type="dxa"/>
            <w:shd w:val="clear" w:color="auto" w:fill="auto"/>
            <w:noWrap/>
            <w:vAlign w:val="center"/>
          </w:tcPr>
          <w:p w14:paraId="0B4DE339" w14:textId="77777777" w:rsidR="000852D7" w:rsidRPr="00AE21A7" w:rsidRDefault="000852D7" w:rsidP="0081597C">
            <w:pPr>
              <w:jc w:val="center"/>
              <w:rPr>
                <w:rFonts w:cs="Calibri"/>
                <w:color w:val="000000"/>
              </w:rPr>
            </w:pPr>
          </w:p>
        </w:tc>
        <w:tc>
          <w:tcPr>
            <w:tcW w:w="961" w:type="dxa"/>
            <w:shd w:val="clear" w:color="auto" w:fill="auto"/>
            <w:noWrap/>
            <w:vAlign w:val="center"/>
          </w:tcPr>
          <w:p w14:paraId="4612B51C" w14:textId="559936DC" w:rsidR="000852D7" w:rsidRPr="00AE21A7" w:rsidRDefault="000852D7" w:rsidP="0081597C">
            <w:pPr>
              <w:jc w:val="center"/>
              <w:rPr>
                <w:rFonts w:cs="Calibri"/>
                <w:color w:val="000000"/>
              </w:rPr>
            </w:pPr>
            <w:r w:rsidRPr="00AE21A7">
              <w:rPr>
                <w:rFonts w:cs="Calibri"/>
                <w:color w:val="000000"/>
              </w:rPr>
              <w:t>1</w:t>
            </w:r>
          </w:p>
        </w:tc>
        <w:tc>
          <w:tcPr>
            <w:tcW w:w="909" w:type="dxa"/>
            <w:vAlign w:val="center"/>
          </w:tcPr>
          <w:p w14:paraId="56BABDE0" w14:textId="77777777" w:rsidR="000852D7" w:rsidRPr="00AE21A7" w:rsidRDefault="000852D7" w:rsidP="0081597C">
            <w:pPr>
              <w:jc w:val="center"/>
              <w:rPr>
                <w:rFonts w:cs="Calibri"/>
                <w:color w:val="000000"/>
              </w:rPr>
            </w:pPr>
          </w:p>
        </w:tc>
        <w:tc>
          <w:tcPr>
            <w:tcW w:w="998" w:type="dxa"/>
            <w:shd w:val="clear" w:color="auto" w:fill="BFBFBF" w:themeFill="background1" w:themeFillShade="BF"/>
            <w:noWrap/>
            <w:vAlign w:val="center"/>
          </w:tcPr>
          <w:p w14:paraId="551317E2" w14:textId="77777777" w:rsidR="000852D7" w:rsidRPr="00AE21A7" w:rsidRDefault="000852D7" w:rsidP="0081597C">
            <w:pPr>
              <w:jc w:val="center"/>
              <w:rPr>
                <w:rFonts w:cs="Calibri"/>
                <w:color w:val="000000"/>
              </w:rPr>
            </w:pPr>
          </w:p>
        </w:tc>
        <w:tc>
          <w:tcPr>
            <w:tcW w:w="910" w:type="dxa"/>
            <w:shd w:val="clear" w:color="auto" w:fill="auto"/>
            <w:noWrap/>
            <w:vAlign w:val="center"/>
          </w:tcPr>
          <w:p w14:paraId="58882D50" w14:textId="77777777" w:rsidR="000852D7" w:rsidRPr="00AE21A7" w:rsidRDefault="000852D7" w:rsidP="0081597C">
            <w:pPr>
              <w:jc w:val="center"/>
              <w:rPr>
                <w:rFonts w:cs="Calibri"/>
                <w:color w:val="000000"/>
              </w:rPr>
            </w:pPr>
          </w:p>
        </w:tc>
        <w:tc>
          <w:tcPr>
            <w:tcW w:w="914" w:type="dxa"/>
            <w:shd w:val="clear" w:color="auto" w:fill="auto"/>
            <w:noWrap/>
            <w:vAlign w:val="center"/>
          </w:tcPr>
          <w:p w14:paraId="7B3F4BB2" w14:textId="77777777" w:rsidR="000852D7" w:rsidRPr="00AE21A7" w:rsidRDefault="000852D7" w:rsidP="0081597C">
            <w:pPr>
              <w:rPr>
                <w:rFonts w:cs="Calibri"/>
                <w:color w:val="000000"/>
              </w:rPr>
            </w:pPr>
          </w:p>
        </w:tc>
        <w:tc>
          <w:tcPr>
            <w:tcW w:w="1050" w:type="dxa"/>
            <w:shd w:val="clear" w:color="000000" w:fill="FFFF00"/>
            <w:noWrap/>
            <w:vAlign w:val="center"/>
          </w:tcPr>
          <w:p w14:paraId="4647F29C" w14:textId="77777777" w:rsidR="000852D7" w:rsidRPr="00AE21A7" w:rsidRDefault="000852D7" w:rsidP="0081597C">
            <w:pPr>
              <w:rPr>
                <w:rFonts w:cs="Calibri"/>
                <w:color w:val="000000"/>
              </w:rPr>
            </w:pPr>
          </w:p>
        </w:tc>
      </w:tr>
      <w:tr w:rsidR="00D0328A" w:rsidRPr="00AC6DE1" w14:paraId="4A7ACA40" w14:textId="77777777" w:rsidTr="00111C15">
        <w:trPr>
          <w:trHeight w:val="300"/>
        </w:trPr>
        <w:tc>
          <w:tcPr>
            <w:tcW w:w="15013" w:type="dxa"/>
            <w:gridSpan w:val="12"/>
          </w:tcPr>
          <w:p w14:paraId="34DAD71A" w14:textId="3C49A514" w:rsidR="00D0328A" w:rsidRPr="00AC6DE1" w:rsidRDefault="00D0328A" w:rsidP="0081597C">
            <w:pPr>
              <w:rPr>
                <w:rFonts w:cs="Calibri"/>
                <w:color w:val="000000"/>
              </w:rPr>
            </w:pPr>
            <w:r w:rsidRPr="0081597C">
              <w:rPr>
                <w:rFonts w:cs="Calibri"/>
                <w:b/>
                <w:bCs/>
                <w:color w:val="000000"/>
              </w:rPr>
              <w:t>Vržanov</w:t>
            </w:r>
          </w:p>
        </w:tc>
      </w:tr>
      <w:tr w:rsidR="00D0328A" w:rsidRPr="00AC6DE1" w14:paraId="2016034E" w14:textId="77777777" w:rsidTr="00DA3E74">
        <w:trPr>
          <w:trHeight w:val="315"/>
        </w:trPr>
        <w:tc>
          <w:tcPr>
            <w:tcW w:w="4254" w:type="dxa"/>
            <w:shd w:val="clear" w:color="auto" w:fill="auto"/>
            <w:noWrap/>
            <w:vAlign w:val="bottom"/>
            <w:hideMark/>
          </w:tcPr>
          <w:p w14:paraId="6AA54753" w14:textId="5EC01097" w:rsidR="00D0328A" w:rsidRPr="0081597C" w:rsidRDefault="00D0328A" w:rsidP="000F0A7A">
            <w:pPr>
              <w:ind w:left="291"/>
              <w:rPr>
                <w:rFonts w:cs="Calibri"/>
                <w:color w:val="000000"/>
              </w:rPr>
            </w:pPr>
            <w:r w:rsidRPr="0081597C">
              <w:rPr>
                <w:rFonts w:cs="Calibri"/>
                <w:color w:val="000000"/>
              </w:rPr>
              <w:t xml:space="preserve">U autobusové </w:t>
            </w:r>
            <w:r w:rsidR="00DA3E74">
              <w:rPr>
                <w:rFonts w:cs="Calibri"/>
                <w:color w:val="000000"/>
              </w:rPr>
              <w:t>zastávky</w:t>
            </w:r>
          </w:p>
        </w:tc>
        <w:tc>
          <w:tcPr>
            <w:tcW w:w="973" w:type="dxa"/>
            <w:shd w:val="clear" w:color="000000" w:fill="8DB4E2"/>
            <w:noWrap/>
            <w:vAlign w:val="center"/>
            <w:hideMark/>
          </w:tcPr>
          <w:p w14:paraId="61AE3D14" w14:textId="3AC3B853" w:rsidR="00D0328A" w:rsidRPr="00AE21A7" w:rsidRDefault="00D0328A" w:rsidP="0081597C">
            <w:pPr>
              <w:jc w:val="center"/>
              <w:rPr>
                <w:rFonts w:cs="Calibri"/>
                <w:color w:val="000000"/>
              </w:rPr>
            </w:pPr>
            <w:r w:rsidRPr="00AE21A7">
              <w:rPr>
                <w:rFonts w:cs="Calibri"/>
                <w:color w:val="000000"/>
              </w:rPr>
              <w:t> </w:t>
            </w:r>
            <w:r w:rsidR="00E4773D">
              <w:rPr>
                <w:rFonts w:cs="Calibri"/>
                <w:color w:val="000000"/>
              </w:rPr>
              <w:t>1</w:t>
            </w:r>
          </w:p>
        </w:tc>
        <w:tc>
          <w:tcPr>
            <w:tcW w:w="973" w:type="dxa"/>
            <w:shd w:val="clear" w:color="000000" w:fill="92D050"/>
            <w:noWrap/>
            <w:vAlign w:val="center"/>
            <w:hideMark/>
          </w:tcPr>
          <w:p w14:paraId="746A00C1"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auto" w:fill="auto"/>
            <w:noWrap/>
            <w:vAlign w:val="center"/>
            <w:hideMark/>
          </w:tcPr>
          <w:p w14:paraId="21ABD9CF"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58CFB10A" w14:textId="77777777" w:rsidR="00D0328A" w:rsidRPr="00AE21A7" w:rsidRDefault="00D0328A" w:rsidP="0081597C">
            <w:pPr>
              <w:jc w:val="center"/>
              <w:rPr>
                <w:rFonts w:cs="Calibri"/>
                <w:color w:val="000000"/>
              </w:rPr>
            </w:pPr>
            <w:r w:rsidRPr="00AE21A7">
              <w:rPr>
                <w:rFonts w:cs="Calibri"/>
                <w:color w:val="000000"/>
              </w:rPr>
              <w:t>1</w:t>
            </w:r>
          </w:p>
        </w:tc>
        <w:tc>
          <w:tcPr>
            <w:tcW w:w="1112" w:type="dxa"/>
            <w:shd w:val="clear" w:color="auto" w:fill="auto"/>
            <w:noWrap/>
            <w:vAlign w:val="center"/>
            <w:hideMark/>
          </w:tcPr>
          <w:p w14:paraId="32C7BA7B"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3349BF1A"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7A1944AA" w14:textId="4E6F977D" w:rsidR="00D0328A" w:rsidRPr="00AE21A7" w:rsidRDefault="000852D7" w:rsidP="000852D7">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hideMark/>
          </w:tcPr>
          <w:p w14:paraId="2F3507B0" w14:textId="19EB7CA3" w:rsidR="00D0328A" w:rsidRPr="00AE21A7" w:rsidRDefault="00D0328A" w:rsidP="0081597C">
            <w:pPr>
              <w:rPr>
                <w:rFonts w:cs="Calibri"/>
                <w:color w:val="000000"/>
              </w:rPr>
            </w:pPr>
            <w:r w:rsidRPr="00AE21A7">
              <w:rPr>
                <w:rFonts w:cs="Calibri"/>
                <w:color w:val="000000"/>
              </w:rPr>
              <w:t> </w:t>
            </w:r>
          </w:p>
        </w:tc>
        <w:tc>
          <w:tcPr>
            <w:tcW w:w="910" w:type="dxa"/>
            <w:shd w:val="clear" w:color="auto" w:fill="auto"/>
            <w:noWrap/>
            <w:vAlign w:val="center"/>
            <w:hideMark/>
          </w:tcPr>
          <w:p w14:paraId="2074AA1B" w14:textId="77777777" w:rsidR="00D0328A" w:rsidRPr="00AE21A7" w:rsidRDefault="00D0328A" w:rsidP="0081597C">
            <w:pPr>
              <w:rPr>
                <w:rFonts w:cs="Calibri"/>
                <w:color w:val="000000"/>
              </w:rPr>
            </w:pPr>
            <w:r w:rsidRPr="00AE21A7">
              <w:rPr>
                <w:rFonts w:cs="Calibri"/>
                <w:color w:val="000000"/>
              </w:rPr>
              <w:t> </w:t>
            </w:r>
          </w:p>
        </w:tc>
        <w:tc>
          <w:tcPr>
            <w:tcW w:w="914" w:type="dxa"/>
            <w:shd w:val="clear" w:color="auto" w:fill="auto"/>
            <w:noWrap/>
            <w:vAlign w:val="center"/>
            <w:hideMark/>
          </w:tcPr>
          <w:p w14:paraId="36AE8601" w14:textId="77777777" w:rsidR="00D0328A" w:rsidRPr="00AE21A7" w:rsidRDefault="00D0328A" w:rsidP="0081597C">
            <w:pPr>
              <w:rPr>
                <w:rFonts w:cs="Calibri"/>
                <w:color w:val="000000"/>
              </w:rPr>
            </w:pPr>
            <w:r w:rsidRPr="00AE21A7">
              <w:rPr>
                <w:rFonts w:cs="Calibri"/>
                <w:color w:val="000000"/>
              </w:rPr>
              <w:t> </w:t>
            </w:r>
          </w:p>
        </w:tc>
        <w:tc>
          <w:tcPr>
            <w:tcW w:w="1050" w:type="dxa"/>
            <w:tcBorders>
              <w:bottom w:val="single" w:sz="4" w:space="0" w:color="auto"/>
            </w:tcBorders>
            <w:shd w:val="clear" w:color="000000" w:fill="FFFF00"/>
            <w:noWrap/>
            <w:vAlign w:val="center"/>
            <w:hideMark/>
          </w:tcPr>
          <w:p w14:paraId="6057B70B" w14:textId="77777777" w:rsidR="00D0328A" w:rsidRPr="00AE21A7" w:rsidRDefault="00D0328A" w:rsidP="0081597C">
            <w:pPr>
              <w:rPr>
                <w:rFonts w:cs="Calibri"/>
                <w:color w:val="000000"/>
              </w:rPr>
            </w:pPr>
            <w:r w:rsidRPr="00AE21A7">
              <w:rPr>
                <w:rFonts w:cs="Calibri"/>
                <w:color w:val="000000"/>
              </w:rPr>
              <w:t> </w:t>
            </w:r>
          </w:p>
        </w:tc>
      </w:tr>
      <w:tr w:rsidR="00D0328A" w:rsidRPr="00AC6DE1" w14:paraId="33A64321" w14:textId="77777777" w:rsidTr="00DA3E74">
        <w:trPr>
          <w:trHeight w:val="330"/>
        </w:trPr>
        <w:tc>
          <w:tcPr>
            <w:tcW w:w="4254" w:type="dxa"/>
            <w:shd w:val="clear" w:color="auto" w:fill="FFFFFF" w:themeFill="background1"/>
            <w:noWrap/>
            <w:vAlign w:val="bottom"/>
            <w:hideMark/>
          </w:tcPr>
          <w:p w14:paraId="420B1177" w14:textId="17D59165" w:rsidR="00D0328A" w:rsidRDefault="00D0328A" w:rsidP="0081597C">
            <w:pPr>
              <w:rPr>
                <w:rFonts w:cs="Calibri"/>
                <w:b/>
                <w:bCs/>
                <w:color w:val="000000"/>
              </w:rPr>
            </w:pPr>
            <w:r w:rsidRPr="003C657F">
              <w:rPr>
                <w:rFonts w:cs="Calibri"/>
                <w:b/>
                <w:bCs/>
                <w:color w:val="000000"/>
              </w:rPr>
              <w:t>Celkový součet</w:t>
            </w:r>
          </w:p>
          <w:p w14:paraId="078986CE" w14:textId="77777777" w:rsidR="00D0328A" w:rsidRPr="003C657F" w:rsidRDefault="00D0328A" w:rsidP="0081597C">
            <w:pPr>
              <w:rPr>
                <w:rFonts w:cs="Calibri"/>
                <w:b/>
                <w:bCs/>
                <w:color w:val="000000"/>
              </w:rPr>
            </w:pPr>
          </w:p>
        </w:tc>
        <w:tc>
          <w:tcPr>
            <w:tcW w:w="973" w:type="dxa"/>
            <w:shd w:val="clear" w:color="000000" w:fill="95B3D7"/>
            <w:noWrap/>
            <w:vAlign w:val="center"/>
            <w:hideMark/>
          </w:tcPr>
          <w:p w14:paraId="42053A8B" w14:textId="4CE70067" w:rsidR="00D0328A" w:rsidRPr="003C657F" w:rsidRDefault="00D0328A" w:rsidP="0081597C">
            <w:pPr>
              <w:jc w:val="center"/>
              <w:rPr>
                <w:rFonts w:cs="Calibri"/>
                <w:b/>
                <w:bCs/>
                <w:color w:val="000000"/>
              </w:rPr>
            </w:pPr>
            <w:r w:rsidRPr="003C657F">
              <w:rPr>
                <w:rFonts w:cs="Calibri"/>
                <w:b/>
                <w:bCs/>
                <w:color w:val="000000"/>
              </w:rPr>
              <w:t>1</w:t>
            </w:r>
            <w:r w:rsidR="00B07E2B">
              <w:rPr>
                <w:rFonts w:cs="Calibri"/>
                <w:b/>
                <w:bCs/>
                <w:color w:val="000000"/>
              </w:rPr>
              <w:t>6</w:t>
            </w:r>
          </w:p>
        </w:tc>
        <w:tc>
          <w:tcPr>
            <w:tcW w:w="973" w:type="dxa"/>
            <w:shd w:val="clear" w:color="000000" w:fill="92D050"/>
            <w:noWrap/>
            <w:vAlign w:val="center"/>
            <w:hideMark/>
          </w:tcPr>
          <w:p w14:paraId="5DA3B8B1" w14:textId="76E0AC1F" w:rsidR="00D0328A" w:rsidRPr="003C657F" w:rsidRDefault="00D0328A" w:rsidP="0081597C">
            <w:pPr>
              <w:jc w:val="center"/>
              <w:rPr>
                <w:rFonts w:cs="Calibri"/>
                <w:b/>
                <w:bCs/>
                <w:color w:val="000000"/>
              </w:rPr>
            </w:pPr>
            <w:r w:rsidRPr="003C657F">
              <w:rPr>
                <w:rFonts w:cs="Calibri"/>
                <w:b/>
                <w:bCs/>
                <w:color w:val="000000"/>
              </w:rPr>
              <w:t>1</w:t>
            </w:r>
            <w:r w:rsidR="00EE2C42">
              <w:rPr>
                <w:rFonts w:cs="Calibri"/>
                <w:b/>
                <w:bCs/>
                <w:color w:val="000000"/>
              </w:rPr>
              <w:t>6</w:t>
            </w:r>
          </w:p>
        </w:tc>
        <w:tc>
          <w:tcPr>
            <w:tcW w:w="973" w:type="dxa"/>
            <w:shd w:val="clear" w:color="auto" w:fill="auto"/>
            <w:noWrap/>
            <w:vAlign w:val="center"/>
            <w:hideMark/>
          </w:tcPr>
          <w:p w14:paraId="6CF1421A" w14:textId="77777777" w:rsidR="00D0328A" w:rsidRPr="003C657F" w:rsidRDefault="00D0328A" w:rsidP="0081597C">
            <w:pPr>
              <w:jc w:val="center"/>
              <w:rPr>
                <w:rFonts w:cs="Calibri"/>
                <w:b/>
                <w:bCs/>
                <w:color w:val="000000"/>
              </w:rPr>
            </w:pPr>
            <w:r w:rsidRPr="003C657F">
              <w:rPr>
                <w:rFonts w:cs="Calibri"/>
                <w:b/>
                <w:bCs/>
                <w:color w:val="000000"/>
              </w:rPr>
              <w:t>9</w:t>
            </w:r>
          </w:p>
        </w:tc>
        <w:tc>
          <w:tcPr>
            <w:tcW w:w="974" w:type="dxa"/>
            <w:shd w:val="clear" w:color="000000" w:fill="FABF8F"/>
            <w:noWrap/>
            <w:vAlign w:val="center"/>
            <w:hideMark/>
          </w:tcPr>
          <w:p w14:paraId="7E81DD8C" w14:textId="1740913A" w:rsidR="00D0328A" w:rsidRPr="003C657F" w:rsidRDefault="00D0328A" w:rsidP="0081597C">
            <w:pPr>
              <w:jc w:val="center"/>
              <w:rPr>
                <w:rFonts w:cs="Calibri"/>
                <w:b/>
                <w:bCs/>
                <w:color w:val="000000"/>
              </w:rPr>
            </w:pPr>
            <w:r w:rsidRPr="003C657F">
              <w:rPr>
                <w:rFonts w:cs="Calibri"/>
                <w:b/>
                <w:bCs/>
                <w:color w:val="000000"/>
              </w:rPr>
              <w:t>1</w:t>
            </w:r>
            <w:r w:rsidR="00EE2C42">
              <w:rPr>
                <w:rFonts w:cs="Calibri"/>
                <w:b/>
                <w:bCs/>
                <w:color w:val="000000"/>
              </w:rPr>
              <w:t>5</w:t>
            </w:r>
          </w:p>
        </w:tc>
        <w:tc>
          <w:tcPr>
            <w:tcW w:w="1112" w:type="dxa"/>
            <w:shd w:val="clear" w:color="auto" w:fill="auto"/>
            <w:noWrap/>
            <w:vAlign w:val="center"/>
            <w:hideMark/>
          </w:tcPr>
          <w:p w14:paraId="571D38AC" w14:textId="235B8292" w:rsidR="00D0328A" w:rsidRPr="003C657F" w:rsidRDefault="00D0328A" w:rsidP="0081597C">
            <w:pPr>
              <w:jc w:val="center"/>
              <w:rPr>
                <w:rFonts w:cs="Calibri"/>
                <w:b/>
                <w:bCs/>
                <w:color w:val="000000"/>
              </w:rPr>
            </w:pPr>
            <w:r w:rsidRPr="003C657F">
              <w:rPr>
                <w:rFonts w:cs="Calibri"/>
                <w:b/>
                <w:bCs/>
                <w:color w:val="000000"/>
              </w:rPr>
              <w:t>4</w:t>
            </w:r>
          </w:p>
        </w:tc>
        <w:tc>
          <w:tcPr>
            <w:tcW w:w="961" w:type="dxa"/>
            <w:shd w:val="clear" w:color="auto" w:fill="auto"/>
            <w:noWrap/>
            <w:vAlign w:val="center"/>
            <w:hideMark/>
          </w:tcPr>
          <w:p w14:paraId="1713FF38" w14:textId="2107E4FC" w:rsidR="00D0328A" w:rsidRPr="003C657F" w:rsidRDefault="00C340C6" w:rsidP="0081597C">
            <w:pPr>
              <w:jc w:val="center"/>
              <w:rPr>
                <w:rFonts w:cs="Calibri"/>
                <w:b/>
                <w:bCs/>
                <w:color w:val="000000"/>
              </w:rPr>
            </w:pPr>
            <w:r>
              <w:rPr>
                <w:rFonts w:cs="Calibri"/>
                <w:b/>
                <w:bCs/>
                <w:color w:val="000000"/>
              </w:rPr>
              <w:t>7</w:t>
            </w:r>
          </w:p>
        </w:tc>
        <w:tc>
          <w:tcPr>
            <w:tcW w:w="909" w:type="dxa"/>
            <w:vAlign w:val="center"/>
          </w:tcPr>
          <w:p w14:paraId="6EAAAE02" w14:textId="2B834D5D" w:rsidR="00D0328A" w:rsidRPr="003C657F" w:rsidRDefault="00692DF4" w:rsidP="0081597C">
            <w:pPr>
              <w:jc w:val="center"/>
              <w:rPr>
                <w:rFonts w:cs="Calibri"/>
                <w:b/>
                <w:bCs/>
                <w:color w:val="000000"/>
              </w:rPr>
            </w:pPr>
            <w:r>
              <w:rPr>
                <w:rFonts w:cs="Calibri"/>
                <w:b/>
                <w:bCs/>
                <w:color w:val="000000"/>
              </w:rPr>
              <w:t>3</w:t>
            </w:r>
          </w:p>
        </w:tc>
        <w:tc>
          <w:tcPr>
            <w:tcW w:w="998" w:type="dxa"/>
            <w:shd w:val="clear" w:color="auto" w:fill="BFBFBF" w:themeFill="background1" w:themeFillShade="BF"/>
            <w:noWrap/>
            <w:vAlign w:val="center"/>
            <w:hideMark/>
          </w:tcPr>
          <w:p w14:paraId="7532CDEC" w14:textId="0EF3C2C2" w:rsidR="00D0328A" w:rsidRPr="003C657F" w:rsidRDefault="00C340C6" w:rsidP="0081597C">
            <w:pPr>
              <w:jc w:val="center"/>
              <w:rPr>
                <w:rFonts w:cs="Calibri"/>
                <w:b/>
                <w:bCs/>
                <w:color w:val="000000"/>
              </w:rPr>
            </w:pPr>
            <w:r>
              <w:rPr>
                <w:rFonts w:cs="Calibri"/>
                <w:b/>
                <w:bCs/>
                <w:color w:val="000000"/>
              </w:rPr>
              <w:t>2</w:t>
            </w:r>
          </w:p>
        </w:tc>
        <w:tc>
          <w:tcPr>
            <w:tcW w:w="910" w:type="dxa"/>
            <w:shd w:val="clear" w:color="auto" w:fill="auto"/>
            <w:noWrap/>
            <w:vAlign w:val="center"/>
            <w:hideMark/>
          </w:tcPr>
          <w:p w14:paraId="3912DAFC" w14:textId="44BC3891" w:rsidR="00D0328A" w:rsidRPr="003C657F" w:rsidRDefault="00E4773D" w:rsidP="0081597C">
            <w:pPr>
              <w:jc w:val="center"/>
              <w:rPr>
                <w:rFonts w:cs="Calibri"/>
                <w:b/>
                <w:bCs/>
                <w:color w:val="000000"/>
              </w:rPr>
            </w:pPr>
            <w:r>
              <w:rPr>
                <w:rFonts w:cs="Calibri"/>
                <w:b/>
                <w:bCs/>
                <w:color w:val="000000"/>
              </w:rPr>
              <w:t>3</w:t>
            </w:r>
          </w:p>
        </w:tc>
        <w:tc>
          <w:tcPr>
            <w:tcW w:w="914" w:type="dxa"/>
            <w:shd w:val="clear" w:color="auto" w:fill="auto"/>
            <w:noWrap/>
            <w:vAlign w:val="center"/>
            <w:hideMark/>
          </w:tcPr>
          <w:p w14:paraId="2367BFF4" w14:textId="77777777" w:rsidR="00D0328A" w:rsidRPr="003C657F" w:rsidRDefault="00D0328A" w:rsidP="0081597C">
            <w:pPr>
              <w:jc w:val="center"/>
              <w:rPr>
                <w:rFonts w:cs="Calibri"/>
                <w:b/>
                <w:bCs/>
                <w:color w:val="000000"/>
              </w:rPr>
            </w:pPr>
            <w:r w:rsidRPr="003C657F">
              <w:rPr>
                <w:rFonts w:cs="Calibri"/>
                <w:b/>
                <w:bCs/>
                <w:color w:val="000000"/>
              </w:rPr>
              <w:t>1</w:t>
            </w:r>
          </w:p>
        </w:tc>
        <w:tc>
          <w:tcPr>
            <w:tcW w:w="1050" w:type="dxa"/>
            <w:shd w:val="clear" w:color="auto" w:fill="FFFF00"/>
            <w:noWrap/>
            <w:vAlign w:val="center"/>
            <w:hideMark/>
          </w:tcPr>
          <w:p w14:paraId="5E3BB547" w14:textId="512E8A47" w:rsidR="00D0328A" w:rsidRPr="00582DF3" w:rsidRDefault="00D0328A" w:rsidP="0081597C">
            <w:pPr>
              <w:jc w:val="center"/>
              <w:rPr>
                <w:rFonts w:cs="Calibri"/>
                <w:b/>
                <w:bCs/>
                <w:color w:val="FFFF00"/>
              </w:rPr>
            </w:pPr>
            <w:r w:rsidRPr="00582DF3">
              <w:rPr>
                <w:rFonts w:cs="Calibri"/>
                <w:b/>
                <w:bCs/>
                <w:color w:val="000000"/>
                <w:highlight w:val="yellow"/>
              </w:rPr>
              <w:t>2</w:t>
            </w:r>
          </w:p>
        </w:tc>
      </w:tr>
    </w:tbl>
    <w:p w14:paraId="557D8DA3" w14:textId="08ACD6B0" w:rsidR="007822D5" w:rsidRPr="000E22D3" w:rsidRDefault="007822D5" w:rsidP="00E10844">
      <w:pPr>
        <w:pStyle w:val="Zkladntext"/>
        <w:rPr>
          <w:noProof/>
        </w:rPr>
      </w:pPr>
    </w:p>
    <w:sectPr w:rsidR="007822D5" w:rsidRPr="000E22D3" w:rsidSect="00692DF4">
      <w:pgSz w:w="16838" w:h="11906" w:orient="landscape"/>
      <w:pgMar w:top="993" w:right="993" w:bottom="1417" w:left="1417"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FA20" w14:textId="77777777" w:rsidR="00341FF4" w:rsidRDefault="00341FF4" w:rsidP="00BD39C0">
      <w:r>
        <w:separator/>
      </w:r>
    </w:p>
  </w:endnote>
  <w:endnote w:type="continuationSeparator" w:id="0">
    <w:p w14:paraId="42A0F7B0" w14:textId="77777777" w:rsidR="00341FF4" w:rsidRDefault="00341FF4" w:rsidP="00BD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442633"/>
      <w:docPartObj>
        <w:docPartGallery w:val="Page Numbers (Bottom of Page)"/>
        <w:docPartUnique/>
      </w:docPartObj>
    </w:sdtPr>
    <w:sdtEndPr/>
    <w:sdtContent>
      <w:p w14:paraId="356061D4" w14:textId="5C06EC82" w:rsidR="00867243" w:rsidRDefault="00867243">
        <w:pPr>
          <w:pStyle w:val="Zpat"/>
          <w:jc w:val="center"/>
        </w:pPr>
        <w:r>
          <w:fldChar w:fldCharType="begin"/>
        </w:r>
        <w:r>
          <w:instrText>PAGE   \* MERGEFORMAT</w:instrText>
        </w:r>
        <w:r>
          <w:fldChar w:fldCharType="separate"/>
        </w:r>
        <w:r>
          <w:t>2</w:t>
        </w:r>
        <w:r>
          <w:fldChar w:fldCharType="end"/>
        </w:r>
      </w:p>
    </w:sdtContent>
  </w:sdt>
  <w:p w14:paraId="2EB064A0" w14:textId="77777777" w:rsidR="007E205D" w:rsidRDefault="007E205D" w:rsidP="00867243">
    <w:pPr>
      <w:pStyle w:val="Zpat"/>
      <w:ind w:left="4536" w:hanging="45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476001"/>
      <w:docPartObj>
        <w:docPartGallery w:val="Page Numbers (Bottom of Page)"/>
        <w:docPartUnique/>
      </w:docPartObj>
    </w:sdtPr>
    <w:sdtEndPr/>
    <w:sdtContent>
      <w:p w14:paraId="3A0A6584" w14:textId="6BD99E76" w:rsidR="00867243" w:rsidRDefault="00867243">
        <w:pPr>
          <w:pStyle w:val="Zpat"/>
          <w:jc w:val="center"/>
        </w:pPr>
        <w:r>
          <w:fldChar w:fldCharType="begin"/>
        </w:r>
        <w:r>
          <w:instrText>PAGE   \* MERGEFORMAT</w:instrText>
        </w:r>
        <w:r>
          <w:fldChar w:fldCharType="separate"/>
        </w:r>
        <w:r>
          <w:t>2</w:t>
        </w:r>
        <w:r>
          <w:fldChar w:fldCharType="end"/>
        </w:r>
      </w:p>
    </w:sdtContent>
  </w:sdt>
  <w:p w14:paraId="3A2AAF1D" w14:textId="77777777" w:rsidR="00867243" w:rsidRDefault="008672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7283" w14:textId="77777777" w:rsidR="00341FF4" w:rsidRDefault="00341FF4" w:rsidP="00BD39C0">
      <w:r>
        <w:separator/>
      </w:r>
    </w:p>
  </w:footnote>
  <w:footnote w:type="continuationSeparator" w:id="0">
    <w:p w14:paraId="7BCE0063" w14:textId="77777777" w:rsidR="00341FF4" w:rsidRDefault="00341FF4" w:rsidP="00BD39C0">
      <w:r>
        <w:continuationSeparator/>
      </w:r>
    </w:p>
  </w:footnote>
  <w:footnote w:id="1">
    <w:p w14:paraId="5A8D2EED" w14:textId="18BF3B65" w:rsidR="008F7933" w:rsidRDefault="008F7933" w:rsidP="008F7933">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 61 zákona </w:t>
      </w:r>
      <w:r w:rsidR="00334D58">
        <w:rPr>
          <w:rFonts w:ascii="Arial" w:hAnsi="Arial" w:cs="Arial"/>
          <w:sz w:val="18"/>
        </w:rPr>
        <w:t xml:space="preserve">č. 541/2020 Sb., </w:t>
      </w:r>
      <w:r>
        <w:rPr>
          <w:rFonts w:ascii="Arial" w:hAnsi="Arial" w:cs="Arial"/>
          <w:sz w:val="18"/>
        </w:rPr>
        <w:t>o odpadech</w:t>
      </w:r>
    </w:p>
  </w:footnote>
  <w:footnote w:id="2">
    <w:p w14:paraId="754E132F" w14:textId="4301023A" w:rsidR="008F7933" w:rsidRDefault="008F7933" w:rsidP="008F7933">
      <w:pPr>
        <w:pStyle w:val="Textpoznpodarou"/>
      </w:pPr>
      <w:r>
        <w:rPr>
          <w:rStyle w:val="Znakapoznpodarou"/>
          <w:rFonts w:ascii="Arial" w:hAnsi="Arial" w:cs="Arial"/>
          <w:sz w:val="18"/>
        </w:rPr>
        <w:footnoteRef/>
      </w:r>
      <w:r>
        <w:rPr>
          <w:rFonts w:ascii="Arial" w:hAnsi="Arial" w:cs="Arial"/>
          <w:sz w:val="18"/>
        </w:rPr>
        <w:t xml:space="preserve"> § 60 zákona </w:t>
      </w:r>
      <w:r w:rsidR="00334D58">
        <w:rPr>
          <w:rFonts w:ascii="Arial" w:hAnsi="Arial" w:cs="Arial"/>
          <w:sz w:val="18"/>
        </w:rPr>
        <w:t xml:space="preserve">č. 541/2020 Sb., </w:t>
      </w:r>
      <w:r>
        <w:rPr>
          <w:rFonts w:ascii="Arial" w:hAnsi="Arial" w:cs="Arial"/>
          <w:sz w:val="18"/>
        </w:rPr>
        <w:t>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3108"/>
    <w:multiLevelType w:val="hybridMultilevel"/>
    <w:tmpl w:val="95241966"/>
    <w:lvl w:ilvl="0" w:tplc="B3649FC4">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A06727"/>
    <w:multiLevelType w:val="hybridMultilevel"/>
    <w:tmpl w:val="2A1A6B96"/>
    <w:lvl w:ilvl="0" w:tplc="D526CD94">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425903"/>
    <w:multiLevelType w:val="hybridMultilevel"/>
    <w:tmpl w:val="43F09B1C"/>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517F9E"/>
    <w:multiLevelType w:val="hybridMultilevel"/>
    <w:tmpl w:val="48CABE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320518AE"/>
    <w:multiLevelType w:val="hybridMultilevel"/>
    <w:tmpl w:val="9D52BA7A"/>
    <w:lvl w:ilvl="0" w:tplc="FFFFFFFF">
      <w:start w:val="1"/>
      <w:numFmt w:val="decimal"/>
      <w:lvlText w:val="%1)"/>
      <w:lvlJc w:val="left"/>
      <w:pPr>
        <w:ind w:left="644" w:hanging="360"/>
      </w:pPr>
      <w:rPr>
        <w:rFonts w:ascii="Times New Roman" w:eastAsia="Times New Roman" w:hAnsi="Times New Roman" w:cs="Times New Roman" w:hint="default"/>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92F0848"/>
    <w:multiLevelType w:val="hybridMultilevel"/>
    <w:tmpl w:val="3A541314"/>
    <w:lvl w:ilvl="0" w:tplc="5EAED400">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7E448A0"/>
    <w:multiLevelType w:val="hybridMultilevel"/>
    <w:tmpl w:val="00D40D1C"/>
    <w:lvl w:ilvl="0" w:tplc="47ACF060">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80A7A93"/>
    <w:multiLevelType w:val="hybridMultilevel"/>
    <w:tmpl w:val="28B4F064"/>
    <w:lvl w:ilvl="0" w:tplc="E37CC18C">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13511F2"/>
    <w:multiLevelType w:val="hybridMultilevel"/>
    <w:tmpl w:val="E44AA140"/>
    <w:lvl w:ilvl="0" w:tplc="94388CEC">
      <w:start w:val="1"/>
      <w:numFmt w:val="decimal"/>
      <w:lvlText w:val="%1)"/>
      <w:lvlJc w:val="left"/>
      <w:pPr>
        <w:ind w:left="785" w:hanging="360"/>
      </w:pPr>
      <w:rPr>
        <w:color w:val="auto"/>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0" w15:restartNumberingAfterBreak="0">
    <w:nsid w:val="522B0B77"/>
    <w:multiLevelType w:val="hybridMultilevel"/>
    <w:tmpl w:val="9D52BA7A"/>
    <w:lvl w:ilvl="0" w:tplc="83C81282">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593D51"/>
    <w:multiLevelType w:val="hybridMultilevel"/>
    <w:tmpl w:val="CC6A9B1E"/>
    <w:lvl w:ilvl="0" w:tplc="774893E8">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3" w15:restartNumberingAfterBreak="0">
    <w:nsid w:val="5F3C5A56"/>
    <w:multiLevelType w:val="hybridMultilevel"/>
    <w:tmpl w:val="9D52BA7A"/>
    <w:lvl w:ilvl="0" w:tplc="FFFFFFFF">
      <w:start w:val="1"/>
      <w:numFmt w:val="decimal"/>
      <w:lvlText w:val="%1)"/>
      <w:lvlJc w:val="left"/>
      <w:pPr>
        <w:ind w:left="644" w:hanging="360"/>
      </w:pPr>
      <w:rPr>
        <w:rFonts w:ascii="Times New Roman" w:eastAsia="Times New Roman" w:hAnsi="Times New Roman" w:cs="Times New Roman" w:hint="default"/>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2AD5461"/>
    <w:multiLevelType w:val="hybridMultilevel"/>
    <w:tmpl w:val="27D6C1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94C19E8"/>
    <w:multiLevelType w:val="hybridMultilevel"/>
    <w:tmpl w:val="7486B5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96732B8"/>
    <w:multiLevelType w:val="hybridMultilevel"/>
    <w:tmpl w:val="1BAE57C4"/>
    <w:lvl w:ilvl="0" w:tplc="0FFED5EA">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B7A54FD"/>
    <w:multiLevelType w:val="hybridMultilevel"/>
    <w:tmpl w:val="6FDCCDD2"/>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8" w15:restartNumberingAfterBreak="0">
    <w:nsid w:val="7BC20D47"/>
    <w:multiLevelType w:val="hybridMultilevel"/>
    <w:tmpl w:val="7988E1F4"/>
    <w:lvl w:ilvl="0" w:tplc="1D48ABB2">
      <w:start w:val="1"/>
      <w:numFmt w:val="decimal"/>
      <w:lvlText w:val="%1)"/>
      <w:lvlJc w:val="left"/>
      <w:pPr>
        <w:ind w:left="644" w:hanging="360"/>
      </w:pPr>
      <w:rPr>
        <w:rFonts w:ascii="Times New Roman" w:eastAsia="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CEA02C5"/>
    <w:multiLevelType w:val="hybridMultilevel"/>
    <w:tmpl w:val="FADC5CCA"/>
    <w:lvl w:ilvl="0" w:tplc="467A1362">
      <w:start w:val="1"/>
      <w:numFmt w:val="lowerLetter"/>
      <w:lvlText w:val="%1)"/>
      <w:lvlJc w:val="lef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7D5329C0"/>
    <w:multiLevelType w:val="hybridMultilevel"/>
    <w:tmpl w:val="42DEAE1A"/>
    <w:lvl w:ilvl="0" w:tplc="AEDA634E">
      <w:start w:val="1"/>
      <w:numFmt w:val="decimal"/>
      <w:lvlText w:val="%1."/>
      <w:lvlJc w:val="left"/>
      <w:pPr>
        <w:ind w:left="1260" w:hanging="90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45014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422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47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137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930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036511">
    <w:abstractNumId w:val="11"/>
  </w:num>
  <w:num w:numId="7" w16cid:durableId="2143190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476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460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673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958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643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397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528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926608">
    <w:abstractNumId w:val="11"/>
  </w:num>
  <w:num w:numId="16" w16cid:durableId="2139645849">
    <w:abstractNumId w:val="17"/>
  </w:num>
  <w:num w:numId="17" w16cid:durableId="702635469">
    <w:abstractNumId w:val="0"/>
  </w:num>
  <w:num w:numId="18" w16cid:durableId="474613257">
    <w:abstractNumId w:val="4"/>
  </w:num>
  <w:num w:numId="19" w16cid:durableId="1545680666">
    <w:abstractNumId w:val="14"/>
  </w:num>
  <w:num w:numId="20" w16cid:durableId="221713933">
    <w:abstractNumId w:val="18"/>
  </w:num>
  <w:num w:numId="21" w16cid:durableId="1363163699">
    <w:abstractNumId w:val="15"/>
  </w:num>
  <w:num w:numId="22" w16cid:durableId="595939958">
    <w:abstractNumId w:val="10"/>
  </w:num>
  <w:num w:numId="23" w16cid:durableId="288827848">
    <w:abstractNumId w:val="5"/>
  </w:num>
  <w:num w:numId="24" w16cid:durableId="1566331498">
    <w:abstractNumId w:val="13"/>
  </w:num>
  <w:num w:numId="25" w16cid:durableId="95579093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73"/>
    <w:rsid w:val="00000E72"/>
    <w:rsid w:val="000016B9"/>
    <w:rsid w:val="000112C9"/>
    <w:rsid w:val="000179E9"/>
    <w:rsid w:val="0002125F"/>
    <w:rsid w:val="0002190F"/>
    <w:rsid w:val="0003320D"/>
    <w:rsid w:val="00042000"/>
    <w:rsid w:val="00042B22"/>
    <w:rsid w:val="000563C3"/>
    <w:rsid w:val="0006226A"/>
    <w:rsid w:val="00065622"/>
    <w:rsid w:val="00074CCD"/>
    <w:rsid w:val="00084555"/>
    <w:rsid w:val="000852D7"/>
    <w:rsid w:val="0009651A"/>
    <w:rsid w:val="000A0656"/>
    <w:rsid w:val="000A2D80"/>
    <w:rsid w:val="000A3625"/>
    <w:rsid w:val="000A4542"/>
    <w:rsid w:val="000A4875"/>
    <w:rsid w:val="000A56D5"/>
    <w:rsid w:val="000A7B82"/>
    <w:rsid w:val="000B4F9E"/>
    <w:rsid w:val="000D33CA"/>
    <w:rsid w:val="000D5498"/>
    <w:rsid w:val="000D6BCD"/>
    <w:rsid w:val="000E0087"/>
    <w:rsid w:val="000E22D3"/>
    <w:rsid w:val="000E6C99"/>
    <w:rsid w:val="000E743E"/>
    <w:rsid w:val="000F0A7A"/>
    <w:rsid w:val="000F2E39"/>
    <w:rsid w:val="00110DCB"/>
    <w:rsid w:val="00111C15"/>
    <w:rsid w:val="0011465F"/>
    <w:rsid w:val="00115702"/>
    <w:rsid w:val="0012379E"/>
    <w:rsid w:val="0012433A"/>
    <w:rsid w:val="00135417"/>
    <w:rsid w:val="001421AE"/>
    <w:rsid w:val="00142909"/>
    <w:rsid w:val="00146231"/>
    <w:rsid w:val="00151FAB"/>
    <w:rsid w:val="00164C4B"/>
    <w:rsid w:val="00171525"/>
    <w:rsid w:val="00173DA3"/>
    <w:rsid w:val="00185F03"/>
    <w:rsid w:val="0018681B"/>
    <w:rsid w:val="00193D59"/>
    <w:rsid w:val="001A466E"/>
    <w:rsid w:val="001A4D8F"/>
    <w:rsid w:val="001B1D32"/>
    <w:rsid w:val="001B7E99"/>
    <w:rsid w:val="001C0227"/>
    <w:rsid w:val="001D28FC"/>
    <w:rsid w:val="001E05EC"/>
    <w:rsid w:val="001E7188"/>
    <w:rsid w:val="001F38C2"/>
    <w:rsid w:val="0020597E"/>
    <w:rsid w:val="00214E7A"/>
    <w:rsid w:val="0022421E"/>
    <w:rsid w:val="00253CB9"/>
    <w:rsid w:val="00277EE6"/>
    <w:rsid w:val="002822DC"/>
    <w:rsid w:val="00282B25"/>
    <w:rsid w:val="00285D13"/>
    <w:rsid w:val="002863BD"/>
    <w:rsid w:val="00290169"/>
    <w:rsid w:val="00290BE9"/>
    <w:rsid w:val="002A5D97"/>
    <w:rsid w:val="002C7591"/>
    <w:rsid w:val="002E785C"/>
    <w:rsid w:val="002F1873"/>
    <w:rsid w:val="002F5FC5"/>
    <w:rsid w:val="0032192E"/>
    <w:rsid w:val="00323A29"/>
    <w:rsid w:val="00326CC5"/>
    <w:rsid w:val="00333861"/>
    <w:rsid w:val="00334111"/>
    <w:rsid w:val="00334D58"/>
    <w:rsid w:val="00336238"/>
    <w:rsid w:val="00340CB2"/>
    <w:rsid w:val="00341FF4"/>
    <w:rsid w:val="00343D84"/>
    <w:rsid w:val="00387689"/>
    <w:rsid w:val="003A5655"/>
    <w:rsid w:val="003C268C"/>
    <w:rsid w:val="003C4BF9"/>
    <w:rsid w:val="003C657F"/>
    <w:rsid w:val="003D071C"/>
    <w:rsid w:val="003E3A41"/>
    <w:rsid w:val="003E4D61"/>
    <w:rsid w:val="004174AE"/>
    <w:rsid w:val="0042626C"/>
    <w:rsid w:val="00432DE8"/>
    <w:rsid w:val="0043789E"/>
    <w:rsid w:val="00440F0F"/>
    <w:rsid w:val="0044105F"/>
    <w:rsid w:val="00441C58"/>
    <w:rsid w:val="00450220"/>
    <w:rsid w:val="00475111"/>
    <w:rsid w:val="004818C7"/>
    <w:rsid w:val="00481DD8"/>
    <w:rsid w:val="00483F67"/>
    <w:rsid w:val="004900C1"/>
    <w:rsid w:val="00494AC9"/>
    <w:rsid w:val="00496BF9"/>
    <w:rsid w:val="004A10B8"/>
    <w:rsid w:val="004A3D25"/>
    <w:rsid w:val="004A6E06"/>
    <w:rsid w:val="004B6802"/>
    <w:rsid w:val="004C2892"/>
    <w:rsid w:val="004D459C"/>
    <w:rsid w:val="004E532C"/>
    <w:rsid w:val="004E6537"/>
    <w:rsid w:val="004F5BBC"/>
    <w:rsid w:val="0051701A"/>
    <w:rsid w:val="00517341"/>
    <w:rsid w:val="00521A59"/>
    <w:rsid w:val="0053024F"/>
    <w:rsid w:val="00537AF7"/>
    <w:rsid w:val="00556395"/>
    <w:rsid w:val="0057153C"/>
    <w:rsid w:val="00582DF3"/>
    <w:rsid w:val="00587FC8"/>
    <w:rsid w:val="005A16EB"/>
    <w:rsid w:val="005A49A6"/>
    <w:rsid w:val="005A5740"/>
    <w:rsid w:val="005A740C"/>
    <w:rsid w:val="005B4964"/>
    <w:rsid w:val="005D0309"/>
    <w:rsid w:val="005F4683"/>
    <w:rsid w:val="0061790C"/>
    <w:rsid w:val="00627C88"/>
    <w:rsid w:val="00646E7B"/>
    <w:rsid w:val="00654D74"/>
    <w:rsid w:val="006624AB"/>
    <w:rsid w:val="00662AA0"/>
    <w:rsid w:val="006632BD"/>
    <w:rsid w:val="00664803"/>
    <w:rsid w:val="00670C19"/>
    <w:rsid w:val="006813CA"/>
    <w:rsid w:val="0068537D"/>
    <w:rsid w:val="0069058A"/>
    <w:rsid w:val="00690C5D"/>
    <w:rsid w:val="00692DF4"/>
    <w:rsid w:val="00695D64"/>
    <w:rsid w:val="006A2C0D"/>
    <w:rsid w:val="006A7CA3"/>
    <w:rsid w:val="006C2103"/>
    <w:rsid w:val="006D543F"/>
    <w:rsid w:val="006D675C"/>
    <w:rsid w:val="00720DEA"/>
    <w:rsid w:val="0072521C"/>
    <w:rsid w:val="00730E65"/>
    <w:rsid w:val="00734EA9"/>
    <w:rsid w:val="00745F66"/>
    <w:rsid w:val="007469A5"/>
    <w:rsid w:val="007544C4"/>
    <w:rsid w:val="00776AC6"/>
    <w:rsid w:val="007822D5"/>
    <w:rsid w:val="00786F6F"/>
    <w:rsid w:val="0079483D"/>
    <w:rsid w:val="00796840"/>
    <w:rsid w:val="00797E4B"/>
    <w:rsid w:val="007A5153"/>
    <w:rsid w:val="007A637C"/>
    <w:rsid w:val="007A66DB"/>
    <w:rsid w:val="007E03D4"/>
    <w:rsid w:val="007E1478"/>
    <w:rsid w:val="007E205D"/>
    <w:rsid w:val="007E3313"/>
    <w:rsid w:val="007E6A49"/>
    <w:rsid w:val="007F1B93"/>
    <w:rsid w:val="007F36B9"/>
    <w:rsid w:val="008029F0"/>
    <w:rsid w:val="008117BC"/>
    <w:rsid w:val="008138C0"/>
    <w:rsid w:val="0081597C"/>
    <w:rsid w:val="00820777"/>
    <w:rsid w:val="00822402"/>
    <w:rsid w:val="00833663"/>
    <w:rsid w:val="0083574D"/>
    <w:rsid w:val="00844F43"/>
    <w:rsid w:val="00845A22"/>
    <w:rsid w:val="008572EE"/>
    <w:rsid w:val="00860DC9"/>
    <w:rsid w:val="00867243"/>
    <w:rsid w:val="008727D5"/>
    <w:rsid w:val="00875CCD"/>
    <w:rsid w:val="00893895"/>
    <w:rsid w:val="00897D2A"/>
    <w:rsid w:val="008A30A1"/>
    <w:rsid w:val="008B5F25"/>
    <w:rsid w:val="008B636B"/>
    <w:rsid w:val="008D0F9B"/>
    <w:rsid w:val="008D6CD3"/>
    <w:rsid w:val="008E26F5"/>
    <w:rsid w:val="008F113C"/>
    <w:rsid w:val="008F7933"/>
    <w:rsid w:val="009026D7"/>
    <w:rsid w:val="00903A41"/>
    <w:rsid w:val="00913B33"/>
    <w:rsid w:val="00914A37"/>
    <w:rsid w:val="00916CD2"/>
    <w:rsid w:val="009343BD"/>
    <w:rsid w:val="0095231B"/>
    <w:rsid w:val="00960860"/>
    <w:rsid w:val="009637F2"/>
    <w:rsid w:val="00967174"/>
    <w:rsid w:val="00970300"/>
    <w:rsid w:val="00985FF7"/>
    <w:rsid w:val="00995084"/>
    <w:rsid w:val="009A1BB6"/>
    <w:rsid w:val="009C20DF"/>
    <w:rsid w:val="009C5024"/>
    <w:rsid w:val="009D62F0"/>
    <w:rsid w:val="009F0A3C"/>
    <w:rsid w:val="00A07CC8"/>
    <w:rsid w:val="00A135AC"/>
    <w:rsid w:val="00A21244"/>
    <w:rsid w:val="00A2670F"/>
    <w:rsid w:val="00A33136"/>
    <w:rsid w:val="00A3505A"/>
    <w:rsid w:val="00A42C5B"/>
    <w:rsid w:val="00A63AFC"/>
    <w:rsid w:val="00A754C8"/>
    <w:rsid w:val="00A77C79"/>
    <w:rsid w:val="00A968D4"/>
    <w:rsid w:val="00AA6089"/>
    <w:rsid w:val="00AA61A8"/>
    <w:rsid w:val="00AA62C6"/>
    <w:rsid w:val="00AC7224"/>
    <w:rsid w:val="00AE21A7"/>
    <w:rsid w:val="00AF2330"/>
    <w:rsid w:val="00AF2D89"/>
    <w:rsid w:val="00AF3F67"/>
    <w:rsid w:val="00B070BC"/>
    <w:rsid w:val="00B07E2B"/>
    <w:rsid w:val="00B106F4"/>
    <w:rsid w:val="00B147BE"/>
    <w:rsid w:val="00B16849"/>
    <w:rsid w:val="00B171DB"/>
    <w:rsid w:val="00B3216C"/>
    <w:rsid w:val="00B3278F"/>
    <w:rsid w:val="00B372F8"/>
    <w:rsid w:val="00B545D8"/>
    <w:rsid w:val="00B603E2"/>
    <w:rsid w:val="00B645F3"/>
    <w:rsid w:val="00B80AEE"/>
    <w:rsid w:val="00B81004"/>
    <w:rsid w:val="00B91C2D"/>
    <w:rsid w:val="00BA74E4"/>
    <w:rsid w:val="00BC17A4"/>
    <w:rsid w:val="00BD39C0"/>
    <w:rsid w:val="00BD544F"/>
    <w:rsid w:val="00BE27DD"/>
    <w:rsid w:val="00BE55D7"/>
    <w:rsid w:val="00BF67A9"/>
    <w:rsid w:val="00BF7BC4"/>
    <w:rsid w:val="00C01F34"/>
    <w:rsid w:val="00C076F1"/>
    <w:rsid w:val="00C107C7"/>
    <w:rsid w:val="00C14D05"/>
    <w:rsid w:val="00C26552"/>
    <w:rsid w:val="00C340C6"/>
    <w:rsid w:val="00C47F1E"/>
    <w:rsid w:val="00C51096"/>
    <w:rsid w:val="00C63D13"/>
    <w:rsid w:val="00C810F2"/>
    <w:rsid w:val="00C863C5"/>
    <w:rsid w:val="00C875CE"/>
    <w:rsid w:val="00C97FDE"/>
    <w:rsid w:val="00CA0D93"/>
    <w:rsid w:val="00CB7C0C"/>
    <w:rsid w:val="00CC2389"/>
    <w:rsid w:val="00CE5119"/>
    <w:rsid w:val="00CF0A2C"/>
    <w:rsid w:val="00D0328A"/>
    <w:rsid w:val="00D11EAA"/>
    <w:rsid w:val="00D15539"/>
    <w:rsid w:val="00D16AC4"/>
    <w:rsid w:val="00D42F5B"/>
    <w:rsid w:val="00D54E84"/>
    <w:rsid w:val="00D7006A"/>
    <w:rsid w:val="00D71D5C"/>
    <w:rsid w:val="00D7491F"/>
    <w:rsid w:val="00D901BE"/>
    <w:rsid w:val="00D935A9"/>
    <w:rsid w:val="00DA2EC4"/>
    <w:rsid w:val="00DA3E74"/>
    <w:rsid w:val="00DA4B41"/>
    <w:rsid w:val="00DA7AB7"/>
    <w:rsid w:val="00DB7169"/>
    <w:rsid w:val="00DC6093"/>
    <w:rsid w:val="00DD6559"/>
    <w:rsid w:val="00DE3109"/>
    <w:rsid w:val="00E037C4"/>
    <w:rsid w:val="00E102F8"/>
    <w:rsid w:val="00E10844"/>
    <w:rsid w:val="00E30D37"/>
    <w:rsid w:val="00E404EF"/>
    <w:rsid w:val="00E42B07"/>
    <w:rsid w:val="00E4773D"/>
    <w:rsid w:val="00E5400B"/>
    <w:rsid w:val="00E62CB6"/>
    <w:rsid w:val="00E731D5"/>
    <w:rsid w:val="00E837FE"/>
    <w:rsid w:val="00E904FC"/>
    <w:rsid w:val="00E9643D"/>
    <w:rsid w:val="00EA4777"/>
    <w:rsid w:val="00EA5C31"/>
    <w:rsid w:val="00EC4A0B"/>
    <w:rsid w:val="00ED353F"/>
    <w:rsid w:val="00ED7927"/>
    <w:rsid w:val="00EE0F2C"/>
    <w:rsid w:val="00EE2C42"/>
    <w:rsid w:val="00EE5CA1"/>
    <w:rsid w:val="00EF4BD5"/>
    <w:rsid w:val="00EF7767"/>
    <w:rsid w:val="00F01AFC"/>
    <w:rsid w:val="00F07C0E"/>
    <w:rsid w:val="00F32FA7"/>
    <w:rsid w:val="00F365F9"/>
    <w:rsid w:val="00F43632"/>
    <w:rsid w:val="00F46010"/>
    <w:rsid w:val="00F57FAA"/>
    <w:rsid w:val="00F621B7"/>
    <w:rsid w:val="00F626AC"/>
    <w:rsid w:val="00F6643D"/>
    <w:rsid w:val="00F702BB"/>
    <w:rsid w:val="00F717EF"/>
    <w:rsid w:val="00FB274B"/>
    <w:rsid w:val="00FB3286"/>
    <w:rsid w:val="00FB7764"/>
    <w:rsid w:val="00FD3504"/>
    <w:rsid w:val="00FE0878"/>
    <w:rsid w:val="00FE66F3"/>
    <w:rsid w:val="00FF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2BE7"/>
  <w15:chartTrackingRefBased/>
  <w15:docId w15:val="{AB537632-5282-4A8E-A921-74F24B05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873"/>
    <w:rPr>
      <w:rFonts w:ascii="Times New Roman" w:eastAsia="Times New Roman" w:hAnsi="Times New Roman"/>
      <w:sz w:val="24"/>
      <w:szCs w:val="24"/>
    </w:rPr>
  </w:style>
  <w:style w:type="paragraph" w:styleId="Nadpis1">
    <w:name w:val="heading 1"/>
    <w:basedOn w:val="Normln"/>
    <w:next w:val="Normln"/>
    <w:link w:val="Nadpis1Char"/>
    <w:uiPriority w:val="9"/>
    <w:qFormat/>
    <w:rsid w:val="000D6BCD"/>
    <w:pPr>
      <w:keepNext/>
      <w:keepLines/>
      <w:spacing w:before="240"/>
      <w:outlineLvl w:val="0"/>
    </w:pPr>
    <w:rPr>
      <w:rFonts w:ascii="Calibri Light" w:hAnsi="Calibri Light"/>
      <w:color w:val="2F5496"/>
      <w:kern w:val="2"/>
      <w:sz w:val="32"/>
      <w:szCs w:val="32"/>
      <w:lang w:eastAsia="en-US"/>
    </w:rPr>
  </w:style>
  <w:style w:type="paragraph" w:styleId="Nadpis2">
    <w:name w:val="heading 2"/>
    <w:basedOn w:val="Normln"/>
    <w:next w:val="Normln"/>
    <w:link w:val="Nadpis2Char"/>
    <w:uiPriority w:val="9"/>
    <w:semiHidden/>
    <w:unhideWhenUsed/>
    <w:qFormat/>
    <w:rsid w:val="00D11EAA"/>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D11EA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1873"/>
    <w:pPr>
      <w:ind w:left="720"/>
      <w:contextualSpacing/>
    </w:pPr>
  </w:style>
  <w:style w:type="paragraph" w:styleId="Rozloendokumentu">
    <w:name w:val="Document Map"/>
    <w:basedOn w:val="Normln"/>
    <w:semiHidden/>
    <w:rsid w:val="00664803"/>
    <w:pPr>
      <w:shd w:val="clear" w:color="auto" w:fill="000080"/>
    </w:pPr>
    <w:rPr>
      <w:rFonts w:ascii="Tahoma" w:hAnsi="Tahoma" w:cs="Tahoma"/>
      <w:sz w:val="20"/>
      <w:szCs w:val="20"/>
    </w:rPr>
  </w:style>
  <w:style w:type="paragraph" w:styleId="Textbubliny">
    <w:name w:val="Balloon Text"/>
    <w:basedOn w:val="Normln"/>
    <w:semiHidden/>
    <w:rsid w:val="0018681B"/>
    <w:rPr>
      <w:rFonts w:ascii="Tahoma" w:hAnsi="Tahoma" w:cs="Tahoma"/>
      <w:sz w:val="16"/>
      <w:szCs w:val="16"/>
    </w:rPr>
  </w:style>
  <w:style w:type="paragraph" w:styleId="Zhlav">
    <w:name w:val="header"/>
    <w:basedOn w:val="Normln"/>
    <w:link w:val="ZhlavChar"/>
    <w:uiPriority w:val="99"/>
    <w:unhideWhenUsed/>
    <w:rsid w:val="00BD39C0"/>
    <w:pPr>
      <w:tabs>
        <w:tab w:val="center" w:pos="4536"/>
        <w:tab w:val="right" w:pos="9072"/>
      </w:tabs>
    </w:pPr>
  </w:style>
  <w:style w:type="character" w:customStyle="1" w:styleId="ZhlavChar">
    <w:name w:val="Záhlaví Char"/>
    <w:link w:val="Zhlav"/>
    <w:uiPriority w:val="99"/>
    <w:rsid w:val="00BD39C0"/>
    <w:rPr>
      <w:rFonts w:ascii="Times New Roman" w:eastAsia="Times New Roman" w:hAnsi="Times New Roman"/>
      <w:sz w:val="24"/>
      <w:szCs w:val="24"/>
    </w:rPr>
  </w:style>
  <w:style w:type="paragraph" w:styleId="Zpat">
    <w:name w:val="footer"/>
    <w:basedOn w:val="Normln"/>
    <w:link w:val="ZpatChar"/>
    <w:uiPriority w:val="99"/>
    <w:unhideWhenUsed/>
    <w:rsid w:val="00BD39C0"/>
    <w:pPr>
      <w:tabs>
        <w:tab w:val="center" w:pos="4536"/>
        <w:tab w:val="right" w:pos="9072"/>
      </w:tabs>
    </w:pPr>
  </w:style>
  <w:style w:type="character" w:customStyle="1" w:styleId="ZpatChar">
    <w:name w:val="Zápatí Char"/>
    <w:link w:val="Zpat"/>
    <w:uiPriority w:val="99"/>
    <w:rsid w:val="00BD39C0"/>
    <w:rPr>
      <w:rFonts w:ascii="Times New Roman" w:eastAsia="Times New Roman" w:hAnsi="Times New Roman"/>
      <w:sz w:val="24"/>
      <w:szCs w:val="24"/>
    </w:rPr>
  </w:style>
  <w:style w:type="character" w:customStyle="1" w:styleId="Zkladntext2">
    <w:name w:val="Základní text (2)_"/>
    <w:link w:val="Zkladntext21"/>
    <w:uiPriority w:val="99"/>
    <w:rsid w:val="00C47F1E"/>
    <w:rPr>
      <w:rFonts w:ascii="Segoe UI" w:hAnsi="Segoe UI" w:cs="Segoe UI"/>
      <w:sz w:val="19"/>
      <w:szCs w:val="19"/>
      <w:shd w:val="clear" w:color="auto" w:fill="FFFFFF"/>
    </w:rPr>
  </w:style>
  <w:style w:type="character" w:customStyle="1" w:styleId="Zkladntext2Tun">
    <w:name w:val="Základní text (2) + Tučné"/>
    <w:uiPriority w:val="99"/>
    <w:rsid w:val="00C47F1E"/>
    <w:rPr>
      <w:rFonts w:ascii="Segoe UI" w:hAnsi="Segoe UI" w:cs="Segoe UI"/>
      <w:b/>
      <w:bCs/>
      <w:sz w:val="19"/>
      <w:szCs w:val="19"/>
      <w:shd w:val="clear" w:color="auto" w:fill="FFFFFF"/>
    </w:rPr>
  </w:style>
  <w:style w:type="paragraph" w:customStyle="1" w:styleId="Zkladntext21">
    <w:name w:val="Základní text (2)1"/>
    <w:basedOn w:val="Normln"/>
    <w:link w:val="Zkladntext2"/>
    <w:uiPriority w:val="99"/>
    <w:rsid w:val="00C47F1E"/>
    <w:pPr>
      <w:widowControl w:val="0"/>
      <w:shd w:val="clear" w:color="auto" w:fill="FFFFFF"/>
      <w:spacing w:before="660" w:after="900" w:line="240" w:lineRule="exact"/>
      <w:ind w:hanging="320"/>
    </w:pPr>
    <w:rPr>
      <w:rFonts w:ascii="Segoe UI" w:eastAsia="Calibri" w:hAnsi="Segoe UI" w:cs="Segoe UI"/>
      <w:sz w:val="19"/>
      <w:szCs w:val="19"/>
    </w:rPr>
  </w:style>
  <w:style w:type="character" w:customStyle="1" w:styleId="Zkladntext8">
    <w:name w:val="Základní text (8)_"/>
    <w:link w:val="Zkladntext81"/>
    <w:uiPriority w:val="99"/>
    <w:rsid w:val="00844F43"/>
    <w:rPr>
      <w:rFonts w:ascii="Segoe UI" w:hAnsi="Segoe UI" w:cs="Segoe UI"/>
      <w:b/>
      <w:bCs/>
      <w:shd w:val="clear" w:color="auto" w:fill="FFFFFF"/>
    </w:rPr>
  </w:style>
  <w:style w:type="character" w:customStyle="1" w:styleId="Zkladntext80">
    <w:name w:val="Základní text (8)"/>
    <w:uiPriority w:val="99"/>
    <w:rsid w:val="00844F43"/>
  </w:style>
  <w:style w:type="paragraph" w:customStyle="1" w:styleId="Zkladntext81">
    <w:name w:val="Základní text (8)1"/>
    <w:basedOn w:val="Normln"/>
    <w:link w:val="Zkladntext8"/>
    <w:uiPriority w:val="99"/>
    <w:rsid w:val="00844F43"/>
    <w:pPr>
      <w:widowControl w:val="0"/>
      <w:shd w:val="clear" w:color="auto" w:fill="FFFFFF"/>
      <w:spacing w:before="1620" w:after="1620" w:line="240" w:lineRule="atLeast"/>
      <w:jc w:val="center"/>
    </w:pPr>
    <w:rPr>
      <w:rFonts w:ascii="Segoe UI" w:eastAsia="Calibri" w:hAnsi="Segoe UI" w:cs="Segoe UI"/>
      <w:b/>
      <w:bCs/>
      <w:sz w:val="20"/>
      <w:szCs w:val="20"/>
    </w:rPr>
  </w:style>
  <w:style w:type="character" w:customStyle="1" w:styleId="Nadpis1Char">
    <w:name w:val="Nadpis 1 Char"/>
    <w:link w:val="Nadpis1"/>
    <w:uiPriority w:val="9"/>
    <w:rsid w:val="000D6BCD"/>
    <w:rPr>
      <w:rFonts w:ascii="Calibri Light" w:eastAsia="Times New Roman" w:hAnsi="Calibri Light"/>
      <w:color w:val="2F5496"/>
      <w:kern w:val="2"/>
      <w:sz w:val="32"/>
      <w:szCs w:val="32"/>
      <w:lang w:eastAsia="en-US"/>
    </w:rPr>
  </w:style>
  <w:style w:type="paragraph" w:styleId="Normlnweb">
    <w:name w:val="Normal (Web)"/>
    <w:basedOn w:val="Normln"/>
    <w:uiPriority w:val="99"/>
    <w:unhideWhenUsed/>
    <w:rsid w:val="000D6BCD"/>
    <w:pPr>
      <w:spacing w:before="100" w:beforeAutospacing="1" w:after="100" w:afterAutospacing="1"/>
    </w:pPr>
  </w:style>
  <w:style w:type="character" w:styleId="Zdraznn">
    <w:name w:val="Emphasis"/>
    <w:uiPriority w:val="20"/>
    <w:qFormat/>
    <w:rsid w:val="000D6BCD"/>
    <w:rPr>
      <w:i/>
      <w:iCs/>
    </w:rPr>
  </w:style>
  <w:style w:type="character" w:styleId="Hypertextovodkaz">
    <w:name w:val="Hyperlink"/>
    <w:uiPriority w:val="99"/>
    <w:semiHidden/>
    <w:unhideWhenUsed/>
    <w:rsid w:val="00916CD2"/>
    <w:rPr>
      <w:color w:val="0000FF"/>
      <w:u w:val="single"/>
    </w:rPr>
  </w:style>
  <w:style w:type="character" w:customStyle="1" w:styleId="Nadpis2Char">
    <w:name w:val="Nadpis 2 Char"/>
    <w:link w:val="Nadpis2"/>
    <w:uiPriority w:val="9"/>
    <w:semiHidden/>
    <w:rsid w:val="00D11EAA"/>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D11EAA"/>
    <w:rPr>
      <w:rFonts w:ascii="Calibri" w:eastAsia="Times New Roman" w:hAnsi="Calibri" w:cs="Times New Roman"/>
      <w:b/>
      <w:bCs/>
      <w:i/>
      <w:iCs/>
      <w:sz w:val="26"/>
      <w:szCs w:val="26"/>
    </w:rPr>
  </w:style>
  <w:style w:type="paragraph" w:styleId="Zkladntext">
    <w:name w:val="Body Text"/>
    <w:basedOn w:val="Normln"/>
    <w:link w:val="ZkladntextChar"/>
    <w:rsid w:val="00D11EAA"/>
    <w:pPr>
      <w:autoSpaceDE w:val="0"/>
      <w:autoSpaceDN w:val="0"/>
      <w:jc w:val="both"/>
    </w:pPr>
  </w:style>
  <w:style w:type="character" w:customStyle="1" w:styleId="ZkladntextChar">
    <w:name w:val="Základní text Char"/>
    <w:link w:val="Zkladntext"/>
    <w:rsid w:val="00D11EAA"/>
    <w:rPr>
      <w:rFonts w:ascii="Times New Roman" w:eastAsia="Times New Roman" w:hAnsi="Times New Roman"/>
      <w:sz w:val="24"/>
      <w:szCs w:val="24"/>
    </w:rPr>
  </w:style>
  <w:style w:type="paragraph" w:styleId="Textpoznpodarou">
    <w:name w:val="footnote text"/>
    <w:basedOn w:val="Normln"/>
    <w:link w:val="TextpoznpodarouChar"/>
    <w:semiHidden/>
    <w:rsid w:val="00D11EAA"/>
    <w:rPr>
      <w:noProof/>
      <w:sz w:val="20"/>
      <w:szCs w:val="20"/>
    </w:rPr>
  </w:style>
  <w:style w:type="character" w:customStyle="1" w:styleId="TextpoznpodarouChar">
    <w:name w:val="Text pozn. pod čarou Char"/>
    <w:link w:val="Textpoznpodarou"/>
    <w:uiPriority w:val="99"/>
    <w:semiHidden/>
    <w:rsid w:val="00D11EAA"/>
    <w:rPr>
      <w:rFonts w:ascii="Times New Roman" w:eastAsia="Times New Roman" w:hAnsi="Times New Roman"/>
      <w:noProof/>
    </w:rPr>
  </w:style>
  <w:style w:type="character" w:styleId="Znakapoznpodarou">
    <w:name w:val="footnote reference"/>
    <w:semiHidden/>
    <w:rsid w:val="00D11EAA"/>
    <w:rPr>
      <w:vertAlign w:val="superscript"/>
    </w:rPr>
  </w:style>
  <w:style w:type="paragraph" w:customStyle="1" w:styleId="Default">
    <w:name w:val="Default"/>
    <w:rsid w:val="00D11EAA"/>
    <w:pPr>
      <w:autoSpaceDE w:val="0"/>
      <w:autoSpaceDN w:val="0"/>
      <w:adjustRightInd w:val="0"/>
    </w:pPr>
    <w:rPr>
      <w:rFonts w:ascii="Arial" w:eastAsia="Times New Roman" w:hAnsi="Arial" w:cs="Arial"/>
      <w:color w:val="000000"/>
      <w:sz w:val="24"/>
      <w:szCs w:val="24"/>
    </w:rPr>
  </w:style>
  <w:style w:type="paragraph" w:customStyle="1" w:styleId="Standard">
    <w:name w:val="Standard"/>
    <w:rsid w:val="00D11EAA"/>
    <w:pPr>
      <w:widowControl w:val="0"/>
      <w:suppressAutoHyphens/>
      <w:autoSpaceDN w:val="0"/>
      <w:textAlignment w:val="baseline"/>
    </w:pPr>
    <w:rPr>
      <w:rFonts w:ascii="Times New Roman" w:eastAsia="Lucida Sans Unicode" w:hAnsi="Times New Roman" w:cs="Tahoma"/>
      <w:kern w:val="3"/>
      <w:sz w:val="24"/>
      <w:szCs w:val="24"/>
    </w:rPr>
  </w:style>
  <w:style w:type="character" w:styleId="Odkaznakoment">
    <w:name w:val="annotation reference"/>
    <w:uiPriority w:val="99"/>
    <w:semiHidden/>
    <w:unhideWhenUsed/>
    <w:rsid w:val="005A49A6"/>
    <w:rPr>
      <w:sz w:val="16"/>
      <w:szCs w:val="16"/>
    </w:rPr>
  </w:style>
  <w:style w:type="paragraph" w:styleId="Textkomente">
    <w:name w:val="annotation text"/>
    <w:basedOn w:val="Normln"/>
    <w:link w:val="TextkomenteChar"/>
    <w:uiPriority w:val="99"/>
    <w:semiHidden/>
    <w:unhideWhenUsed/>
    <w:rsid w:val="005A49A6"/>
    <w:rPr>
      <w:sz w:val="20"/>
      <w:szCs w:val="20"/>
    </w:rPr>
  </w:style>
  <w:style w:type="character" w:customStyle="1" w:styleId="TextkomenteChar">
    <w:name w:val="Text komentáře Char"/>
    <w:link w:val="Textkomente"/>
    <w:uiPriority w:val="99"/>
    <w:semiHidden/>
    <w:rsid w:val="005A49A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A49A6"/>
    <w:rPr>
      <w:b/>
      <w:bCs/>
    </w:rPr>
  </w:style>
  <w:style w:type="character" w:customStyle="1" w:styleId="PedmtkomenteChar">
    <w:name w:val="Předmět komentáře Char"/>
    <w:link w:val="Pedmtkomente"/>
    <w:uiPriority w:val="99"/>
    <w:semiHidden/>
    <w:rsid w:val="005A49A6"/>
    <w:rPr>
      <w:rFonts w:ascii="Times New Roman" w:eastAsia="Times New Roman" w:hAnsi="Times New Roman"/>
      <w:b/>
      <w:bCs/>
    </w:rPr>
  </w:style>
  <w:style w:type="table" w:styleId="Mkatabulky">
    <w:name w:val="Table Grid"/>
    <w:basedOn w:val="Normlntabulka"/>
    <w:uiPriority w:val="59"/>
    <w:rsid w:val="001E0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336238"/>
    <w:rPr>
      <w:rFonts w:ascii="Courier New" w:hAnsi="Courier New" w:cs="Courier New"/>
      <w:sz w:val="20"/>
      <w:szCs w:val="20"/>
    </w:rPr>
  </w:style>
  <w:style w:type="character" w:customStyle="1" w:styleId="ProsttextChar">
    <w:name w:val="Prostý text Char"/>
    <w:link w:val="Prosttext"/>
    <w:uiPriority w:val="99"/>
    <w:rsid w:val="0033623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714">
      <w:bodyDiv w:val="1"/>
      <w:marLeft w:val="0"/>
      <w:marRight w:val="0"/>
      <w:marTop w:val="0"/>
      <w:marBottom w:val="0"/>
      <w:divBdr>
        <w:top w:val="none" w:sz="0" w:space="0" w:color="auto"/>
        <w:left w:val="none" w:sz="0" w:space="0" w:color="auto"/>
        <w:bottom w:val="none" w:sz="0" w:space="0" w:color="auto"/>
        <w:right w:val="none" w:sz="0" w:space="0" w:color="auto"/>
      </w:divBdr>
    </w:div>
    <w:div w:id="499658019">
      <w:bodyDiv w:val="1"/>
      <w:marLeft w:val="0"/>
      <w:marRight w:val="0"/>
      <w:marTop w:val="0"/>
      <w:marBottom w:val="0"/>
      <w:divBdr>
        <w:top w:val="none" w:sz="0" w:space="0" w:color="auto"/>
        <w:left w:val="none" w:sz="0" w:space="0" w:color="auto"/>
        <w:bottom w:val="none" w:sz="0" w:space="0" w:color="auto"/>
        <w:right w:val="none" w:sz="0" w:space="0" w:color="auto"/>
      </w:divBdr>
    </w:div>
    <w:div w:id="526409642">
      <w:bodyDiv w:val="1"/>
      <w:marLeft w:val="0"/>
      <w:marRight w:val="0"/>
      <w:marTop w:val="0"/>
      <w:marBottom w:val="0"/>
      <w:divBdr>
        <w:top w:val="none" w:sz="0" w:space="0" w:color="auto"/>
        <w:left w:val="none" w:sz="0" w:space="0" w:color="auto"/>
        <w:bottom w:val="none" w:sz="0" w:space="0" w:color="auto"/>
        <w:right w:val="none" w:sz="0" w:space="0" w:color="auto"/>
      </w:divBdr>
    </w:div>
    <w:div w:id="960066342">
      <w:bodyDiv w:val="1"/>
      <w:marLeft w:val="0"/>
      <w:marRight w:val="0"/>
      <w:marTop w:val="0"/>
      <w:marBottom w:val="0"/>
      <w:divBdr>
        <w:top w:val="none" w:sz="0" w:space="0" w:color="auto"/>
        <w:left w:val="none" w:sz="0" w:space="0" w:color="auto"/>
        <w:bottom w:val="none" w:sz="0" w:space="0" w:color="auto"/>
        <w:right w:val="none" w:sz="0" w:space="0" w:color="auto"/>
      </w:divBdr>
    </w:div>
    <w:div w:id="1112747738">
      <w:bodyDiv w:val="1"/>
      <w:marLeft w:val="0"/>
      <w:marRight w:val="0"/>
      <w:marTop w:val="0"/>
      <w:marBottom w:val="0"/>
      <w:divBdr>
        <w:top w:val="none" w:sz="0" w:space="0" w:color="auto"/>
        <w:left w:val="none" w:sz="0" w:space="0" w:color="auto"/>
        <w:bottom w:val="none" w:sz="0" w:space="0" w:color="auto"/>
        <w:right w:val="none" w:sz="0" w:space="0" w:color="auto"/>
      </w:divBdr>
    </w:div>
    <w:div w:id="1223101879">
      <w:bodyDiv w:val="1"/>
      <w:marLeft w:val="0"/>
      <w:marRight w:val="0"/>
      <w:marTop w:val="0"/>
      <w:marBottom w:val="0"/>
      <w:divBdr>
        <w:top w:val="none" w:sz="0" w:space="0" w:color="auto"/>
        <w:left w:val="none" w:sz="0" w:space="0" w:color="auto"/>
        <w:bottom w:val="none" w:sz="0" w:space="0" w:color="auto"/>
        <w:right w:val="none" w:sz="0" w:space="0" w:color="auto"/>
      </w:divBdr>
    </w:div>
    <w:div w:id="1472745558">
      <w:bodyDiv w:val="1"/>
      <w:marLeft w:val="0"/>
      <w:marRight w:val="0"/>
      <w:marTop w:val="0"/>
      <w:marBottom w:val="0"/>
      <w:divBdr>
        <w:top w:val="none" w:sz="0" w:space="0" w:color="auto"/>
        <w:left w:val="none" w:sz="0" w:space="0" w:color="auto"/>
        <w:bottom w:val="none" w:sz="0" w:space="0" w:color="auto"/>
        <w:right w:val="none" w:sz="0" w:space="0" w:color="auto"/>
      </w:divBdr>
    </w:div>
    <w:div w:id="1484464749">
      <w:bodyDiv w:val="1"/>
      <w:marLeft w:val="0"/>
      <w:marRight w:val="0"/>
      <w:marTop w:val="0"/>
      <w:marBottom w:val="0"/>
      <w:divBdr>
        <w:top w:val="none" w:sz="0" w:space="0" w:color="auto"/>
        <w:left w:val="none" w:sz="0" w:space="0" w:color="auto"/>
        <w:bottom w:val="none" w:sz="0" w:space="0" w:color="auto"/>
        <w:right w:val="none" w:sz="0" w:space="0" w:color="auto"/>
      </w:divBdr>
    </w:div>
    <w:div w:id="1581871456">
      <w:bodyDiv w:val="1"/>
      <w:marLeft w:val="0"/>
      <w:marRight w:val="0"/>
      <w:marTop w:val="0"/>
      <w:marBottom w:val="0"/>
      <w:divBdr>
        <w:top w:val="none" w:sz="0" w:space="0" w:color="auto"/>
        <w:left w:val="none" w:sz="0" w:space="0" w:color="auto"/>
        <w:bottom w:val="none" w:sz="0" w:space="0" w:color="auto"/>
        <w:right w:val="none" w:sz="0" w:space="0" w:color="auto"/>
      </w:divBdr>
    </w:div>
    <w:div w:id="1593273806">
      <w:bodyDiv w:val="1"/>
      <w:marLeft w:val="0"/>
      <w:marRight w:val="0"/>
      <w:marTop w:val="0"/>
      <w:marBottom w:val="0"/>
      <w:divBdr>
        <w:top w:val="none" w:sz="0" w:space="0" w:color="auto"/>
        <w:left w:val="none" w:sz="0" w:space="0" w:color="auto"/>
        <w:bottom w:val="none" w:sz="0" w:space="0" w:color="auto"/>
        <w:right w:val="none" w:sz="0" w:space="0" w:color="auto"/>
      </w:divBdr>
    </w:div>
    <w:div w:id="1600603355">
      <w:bodyDiv w:val="1"/>
      <w:marLeft w:val="0"/>
      <w:marRight w:val="0"/>
      <w:marTop w:val="0"/>
      <w:marBottom w:val="0"/>
      <w:divBdr>
        <w:top w:val="none" w:sz="0" w:space="0" w:color="auto"/>
        <w:left w:val="none" w:sz="0" w:space="0" w:color="auto"/>
        <w:bottom w:val="none" w:sz="0" w:space="0" w:color="auto"/>
        <w:right w:val="none" w:sz="0" w:space="0" w:color="auto"/>
      </w:divBdr>
    </w:div>
    <w:div w:id="1656034776">
      <w:bodyDiv w:val="1"/>
      <w:marLeft w:val="0"/>
      <w:marRight w:val="0"/>
      <w:marTop w:val="0"/>
      <w:marBottom w:val="0"/>
      <w:divBdr>
        <w:top w:val="none" w:sz="0" w:space="0" w:color="auto"/>
        <w:left w:val="none" w:sz="0" w:space="0" w:color="auto"/>
        <w:bottom w:val="none" w:sz="0" w:space="0" w:color="auto"/>
        <w:right w:val="none" w:sz="0" w:space="0" w:color="auto"/>
      </w:divBdr>
    </w:div>
    <w:div w:id="1740860867">
      <w:bodyDiv w:val="1"/>
      <w:marLeft w:val="0"/>
      <w:marRight w:val="0"/>
      <w:marTop w:val="0"/>
      <w:marBottom w:val="0"/>
      <w:divBdr>
        <w:top w:val="none" w:sz="0" w:space="0" w:color="auto"/>
        <w:left w:val="none" w:sz="0" w:space="0" w:color="auto"/>
        <w:bottom w:val="none" w:sz="0" w:space="0" w:color="auto"/>
        <w:right w:val="none" w:sz="0" w:space="0" w:color="auto"/>
      </w:divBdr>
    </w:div>
    <w:div w:id="1846940204">
      <w:bodyDiv w:val="1"/>
      <w:marLeft w:val="0"/>
      <w:marRight w:val="0"/>
      <w:marTop w:val="0"/>
      <w:marBottom w:val="0"/>
      <w:divBdr>
        <w:top w:val="none" w:sz="0" w:space="0" w:color="auto"/>
        <w:left w:val="none" w:sz="0" w:space="0" w:color="auto"/>
        <w:bottom w:val="none" w:sz="0" w:space="0" w:color="auto"/>
        <w:right w:val="none" w:sz="0" w:space="0" w:color="auto"/>
      </w:divBdr>
    </w:div>
    <w:div w:id="19948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CA48-90F8-4A0D-A142-687913B2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986</Words>
  <Characters>5823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Mistostarosta Městys Kamenice</cp:lastModifiedBy>
  <cp:revision>6</cp:revision>
  <cp:lastPrinted>2025-03-24T12:41:00Z</cp:lastPrinted>
  <dcterms:created xsi:type="dcterms:W3CDTF">2025-03-27T07:09:00Z</dcterms:created>
  <dcterms:modified xsi:type="dcterms:W3CDTF">2025-04-30T11:51:00Z</dcterms:modified>
</cp:coreProperties>
</file>