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70C0"/>
          <w:sz w:val="26"/>
          <w:szCs w:val="26"/>
        </w:rPr>
      </w:pPr>
      <w:r>
        <w:rPr>
          <w:rFonts w:cs="Arial" w:ascii="Arial" w:hAnsi="Arial"/>
          <w:b/>
          <w:color w:val="0070C0"/>
          <w:sz w:val="26"/>
          <w:szCs w:val="26"/>
        </w:rPr>
        <w:t xml:space="preserve"> </w:t>
      </w:r>
      <w:r>
        <w:rPr/>
        <w:drawing>
          <wp:inline distT="0" distB="0" distL="0" distR="0">
            <wp:extent cx="685800" cy="77089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685800" cy="770890"/>
                    </a:xfrm>
                    <a:prstGeom prst="rect">
                      <a:avLst/>
                    </a:prstGeom>
                  </pic:spPr>
                </pic:pic>
              </a:graphicData>
            </a:graphic>
          </wp:inline>
        </w:drawing>
      </w:r>
    </w:p>
    <w:p>
      <w:pPr>
        <w:pStyle w:val="Header"/>
        <w:tabs>
          <w:tab w:val="clear" w:pos="4536"/>
          <w:tab w:val="clear" w:pos="9072"/>
        </w:tabs>
        <w:rPr>
          <w:rFonts w:ascii="Arial" w:hAnsi="Arial" w:cs="Arial"/>
          <w:bCs/>
          <w:sz w:val="22"/>
          <w:szCs w:val="22"/>
        </w:rPr>
      </w:pPr>
      <w:r>
        <w:rPr>
          <w:rFonts w:cs="Arial" w:ascii="Arial" w:hAnsi="Arial"/>
          <w:bCs/>
          <w:sz w:val="22"/>
          <w:szCs w:val="22"/>
        </w:rPr>
      </w:r>
    </w:p>
    <w:p>
      <w:pPr>
        <w:pStyle w:val="Normal"/>
        <w:spacing w:lineRule="auto" w:line="276"/>
        <w:jc w:val="center"/>
        <w:rPr>
          <w:rFonts w:ascii="Arial" w:hAnsi="Arial" w:cs="Arial"/>
          <w:b/>
        </w:rPr>
      </w:pPr>
      <w:r>
        <w:rPr>
          <w:rFonts w:cs="Arial" w:ascii="Arial" w:hAnsi="Arial"/>
          <w:b/>
        </w:rPr>
        <w:t xml:space="preserve">MĚSTYS Strážný </w:t>
      </w:r>
    </w:p>
    <w:p>
      <w:pPr>
        <w:pStyle w:val="Normal"/>
        <w:spacing w:lineRule="auto" w:line="276"/>
        <w:jc w:val="center"/>
        <w:rPr>
          <w:rFonts w:ascii="Arial" w:hAnsi="Arial" w:cs="Arial"/>
          <w:b/>
        </w:rPr>
      </w:pPr>
      <w:r>
        <w:rPr>
          <w:rFonts w:cs="Arial" w:ascii="Arial" w:hAnsi="Arial"/>
          <w:b/>
        </w:rPr>
        <w:t>Zastupitelstvo městyse Strážný</w:t>
      </w:r>
    </w:p>
    <w:p>
      <w:pPr>
        <w:pStyle w:val="Normal"/>
        <w:spacing w:lineRule="auto" w:line="276"/>
        <w:jc w:val="center"/>
        <w:rPr>
          <w:rFonts w:ascii="Arial" w:hAnsi="Arial" w:cs="Arial"/>
          <w:b/>
          <w:color w:val="FF0000"/>
        </w:rPr>
      </w:pPr>
      <w:r>
        <w:rPr>
          <w:rFonts w:cs="Arial" w:ascii="Arial" w:hAnsi="Arial"/>
          <w:b/>
        </w:rPr>
        <w:t>Obecně závazná vyhláška městyse</w:t>
      </w:r>
    </w:p>
    <w:p>
      <w:pPr>
        <w:pStyle w:val="NormlnIMP"/>
        <w:spacing w:lineRule="auto" w:line="240"/>
        <w:jc w:val="center"/>
        <w:rPr>
          <w:rFonts w:ascii="Arial" w:hAnsi="Arial" w:cs="Arial"/>
          <w:b/>
          <w:color w:val="000000"/>
          <w:sz w:val="22"/>
          <w:szCs w:val="22"/>
        </w:rPr>
      </w:pPr>
      <w:r>
        <w:rPr>
          <w:rFonts w:cs="Arial" w:ascii="Arial" w:hAnsi="Arial"/>
          <w:b/>
          <w:color w:val="000000"/>
          <w:sz w:val="22"/>
          <w:szCs w:val="22"/>
        </w:rPr>
      </w:r>
    </w:p>
    <w:p>
      <w:pPr>
        <w:pStyle w:val="NormlnIMP"/>
        <w:spacing w:lineRule="auto" w:line="240"/>
        <w:jc w:val="center"/>
        <w:rPr>
          <w:rFonts w:ascii="Arial" w:hAnsi="Arial" w:cs="Arial"/>
          <w:b/>
          <w:color w:val="000000"/>
          <w:sz w:val="22"/>
          <w:szCs w:val="22"/>
        </w:rPr>
      </w:pPr>
      <w:bookmarkStart w:id="0" w:name="_Hlk122430076"/>
      <w:r>
        <w:rPr>
          <w:rFonts w:cs="Arial" w:ascii="Arial" w:hAnsi="Arial"/>
          <w:b/>
          <w:color w:val="000000"/>
          <w:sz w:val="22"/>
          <w:szCs w:val="22"/>
        </w:rPr>
        <w:t xml:space="preserve">o stanovení obecního systému odpadového hospodářství </w:t>
      </w:r>
      <w:bookmarkEnd w:id="0"/>
    </w:p>
    <w:p>
      <w:pPr>
        <w:pStyle w:val="Normal"/>
        <w:jc w:val="both"/>
        <w:rPr>
          <w:rFonts w:ascii="Arial" w:hAnsi="Arial" w:cs="Arial"/>
          <w:sz w:val="22"/>
          <w:szCs w:val="22"/>
        </w:rPr>
      </w:pPr>
      <w:r>
        <w:rPr>
          <w:rFonts w:cs="Arial" w:ascii="Arial" w:hAnsi="Arial"/>
          <w:sz w:val="22"/>
          <w:szCs w:val="22"/>
        </w:rPr>
      </w:r>
    </w:p>
    <w:p>
      <w:pPr>
        <w:pStyle w:val="BodyTextIndent2"/>
        <w:ind w:hanging="0" w:left="0"/>
        <w:rPr>
          <w:rFonts w:ascii="Arial" w:hAnsi="Arial" w:cs="Arial"/>
          <w:sz w:val="22"/>
          <w:szCs w:val="22"/>
        </w:rPr>
      </w:pPr>
      <w:r>
        <w:rPr>
          <w:rFonts w:cs="Arial" w:ascii="Arial" w:hAnsi="Arial"/>
          <w:sz w:val="22"/>
          <w:szCs w:val="22"/>
        </w:rPr>
        <w:t>Zastupitelstvo městyse Strážný se na svém zasedání dne 14.10.2025 usnesením č. 2025-7/9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1</w:t>
      </w:r>
    </w:p>
    <w:p>
      <w:pPr>
        <w:pStyle w:val="Heading2"/>
        <w:jc w:val="center"/>
        <w:rPr>
          <w:rFonts w:ascii="Arial" w:hAnsi="Arial" w:cs="Arial"/>
          <w:b/>
          <w:bCs/>
          <w:sz w:val="22"/>
          <w:szCs w:val="22"/>
          <w:u w:val="none"/>
        </w:rPr>
      </w:pPr>
      <w:r>
        <w:rPr>
          <w:rFonts w:cs="Arial" w:ascii="Arial" w:hAnsi="Arial"/>
          <w:b/>
          <w:bCs/>
          <w:sz w:val="22"/>
          <w:szCs w:val="22"/>
          <w:u w:val="none"/>
        </w:rPr>
        <w:t>Úvodní ustanovení</w:t>
      </w:r>
    </w:p>
    <w:p>
      <w:pPr>
        <w:pStyle w:val="Normal"/>
        <w:tabs>
          <w:tab w:val="clear" w:pos="708"/>
          <w:tab w:val="left" w:pos="567" w:leader="none"/>
        </w:tabs>
        <w:jc w:val="both"/>
        <w:rPr>
          <w:rFonts w:ascii="Arial" w:hAnsi="Arial" w:cs="Arial"/>
          <w:sz w:val="22"/>
          <w:szCs w:val="22"/>
        </w:rPr>
      </w:pPr>
      <w:r>
        <w:rPr>
          <w:rFonts w:cs="Arial" w:ascii="Arial" w:hAnsi="Arial"/>
          <w:sz w:val="22"/>
          <w:szCs w:val="22"/>
        </w:rPr>
      </w:r>
    </w:p>
    <w:p>
      <w:pPr>
        <w:pStyle w:val="Normal"/>
        <w:numPr>
          <w:ilvl w:val="0"/>
          <w:numId w:val="7"/>
        </w:numPr>
        <w:tabs>
          <w:tab w:val="clear" w:pos="708"/>
          <w:tab w:val="left" w:pos="0" w:leader="none"/>
        </w:tabs>
        <w:ind w:hanging="426" w:left="0"/>
        <w:jc w:val="both"/>
        <w:rPr>
          <w:rFonts w:ascii="Arial" w:hAnsi="Arial" w:cs="Arial"/>
          <w:color w:val="FF0000"/>
          <w:sz w:val="22"/>
          <w:szCs w:val="22"/>
        </w:rPr>
      </w:pPr>
      <w:r>
        <w:rPr>
          <w:rFonts w:cs="Arial" w:ascii="Arial" w:hAnsi="Arial"/>
          <w:sz w:val="22"/>
          <w:szCs w:val="22"/>
        </w:rPr>
        <w:t>Tato vyhláška stanovuje obecní systém odpadového hospodářství na území městyse Strážný.</w:t>
      </w:r>
    </w:p>
    <w:p>
      <w:pPr>
        <w:pStyle w:val="Normal"/>
        <w:tabs>
          <w:tab w:val="clear" w:pos="708"/>
          <w:tab w:val="left" w:pos="0" w:leader="none"/>
        </w:tabs>
        <w:jc w:val="both"/>
        <w:rPr>
          <w:rFonts w:ascii="Arial" w:hAnsi="Arial" w:cs="Arial"/>
          <w:color w:val="FF0000"/>
          <w:sz w:val="22"/>
          <w:szCs w:val="22"/>
        </w:rPr>
      </w:pPr>
      <w:r>
        <w:rPr>
          <w:rFonts w:cs="Arial" w:ascii="Arial" w:hAnsi="Arial"/>
          <w:color w:val="FF0000"/>
          <w:sz w:val="22"/>
          <w:szCs w:val="22"/>
        </w:rPr>
      </w:r>
    </w:p>
    <w:p>
      <w:pPr>
        <w:pStyle w:val="Normal"/>
        <w:numPr>
          <w:ilvl w:val="0"/>
          <w:numId w:val="7"/>
        </w:numPr>
        <w:tabs>
          <w:tab w:val="clear" w:pos="708"/>
          <w:tab w:val="left" w:pos="-142" w:leader="none"/>
        </w:tabs>
        <w:ind w:hanging="426" w:left="0"/>
        <w:jc w:val="both"/>
        <w:rPr>
          <w:rFonts w:ascii="Arial" w:hAnsi="Arial" w:cs="Arial"/>
          <w:sz w:val="22"/>
          <w:szCs w:val="22"/>
        </w:rPr>
      </w:pPr>
      <w:r>
        <w:rPr>
          <w:rFonts w:cs="Arial" w:ascii="Arial" w:hAnsi="Arial"/>
          <w:color w:val="FF0000"/>
          <w:sz w:val="22"/>
          <w:szCs w:val="22"/>
        </w:rPr>
        <w:t xml:space="preserve">  </w:t>
      </w:r>
      <w:r>
        <w:rPr>
          <w:rFonts w:cs="Arial" w:ascii="Arial" w:hAnsi="Arial"/>
          <w:sz w:val="22"/>
          <w:szCs w:val="22"/>
        </w:rPr>
        <w:t>Každý je povinen odpad nebo movitou věc, které předává do obecního systému, odkládat na místa určená městysem v souladu s povinnostmi stanovenými pro daný druh, kategorii nebo materiál odpadu nebo movitých věcí zákonem o odpadech a touto vyhláškou</w:t>
      </w:r>
      <w:r>
        <w:rPr>
          <w:rStyle w:val="FootnoteReference"/>
          <w:rFonts w:cs="Arial" w:ascii="Arial" w:hAnsi="Arial"/>
          <w:sz w:val="22"/>
          <w:szCs w:val="22"/>
        </w:rPr>
        <w:footnoteReference w:id="2"/>
      </w:r>
      <w:r>
        <w:rPr>
          <w:rFonts w:cs="Arial" w:ascii="Arial" w:hAnsi="Arial"/>
          <w:sz w:val="22"/>
          <w:szCs w:val="22"/>
        </w:rPr>
        <w:t>.</w:t>
      </w:r>
    </w:p>
    <w:p>
      <w:pPr>
        <w:pStyle w:val="Normal"/>
        <w:tabs>
          <w:tab w:val="clear" w:pos="708"/>
          <w:tab w:val="left" w:pos="567" w:leader="none"/>
        </w:tabs>
        <w:jc w:val="both"/>
        <w:rPr>
          <w:rFonts w:ascii="Arial" w:hAnsi="Arial" w:cs="Arial"/>
          <w:sz w:val="22"/>
          <w:szCs w:val="22"/>
        </w:rPr>
      </w:pPr>
      <w:r>
        <w:rPr>
          <w:rFonts w:cs="Arial" w:ascii="Arial" w:hAnsi="Arial"/>
          <w:sz w:val="22"/>
          <w:szCs w:val="22"/>
        </w:rPr>
      </w:r>
    </w:p>
    <w:p>
      <w:pPr>
        <w:pStyle w:val="Normal"/>
        <w:numPr>
          <w:ilvl w:val="0"/>
          <w:numId w:val="7"/>
        </w:numPr>
        <w:tabs>
          <w:tab w:val="clear" w:pos="708"/>
          <w:tab w:val="left" w:pos="-142" w:leader="none"/>
        </w:tabs>
        <w:ind w:hanging="426" w:left="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V okamžiku, kdy osoba zapojená do obecního systému odloží movitou věc nebo odpad, </w:t>
        <w:br/>
        <w:t>s výjimkou výrobků s ukončenou životností, na místě městysem k tomuto účelu určeném, stává se městys vlastníkem této movité věci nebo odpadu</w:t>
      </w:r>
      <w:r>
        <w:rPr>
          <w:rStyle w:val="FootnoteReference"/>
          <w:rFonts w:cs="Arial" w:ascii="Arial" w:hAnsi="Arial"/>
          <w:sz w:val="22"/>
          <w:szCs w:val="22"/>
        </w:rPr>
        <w:footnoteReference w:id="3"/>
      </w:r>
      <w:r>
        <w:rPr>
          <w:rFonts w:cs="Arial" w:ascii="Arial" w:hAnsi="Arial"/>
          <w:sz w:val="22"/>
          <w:szCs w:val="22"/>
        </w:rPr>
        <w:t xml:space="preserve">. </w:t>
      </w:r>
    </w:p>
    <w:p>
      <w:pPr>
        <w:pStyle w:val="Normal"/>
        <w:tabs>
          <w:tab w:val="clear" w:pos="708"/>
          <w:tab w:val="left" w:pos="-142" w:leader="none"/>
        </w:tabs>
        <w:jc w:val="both"/>
        <w:rPr>
          <w:rFonts w:ascii="Arial" w:hAnsi="Arial" w:cs="Arial"/>
          <w:sz w:val="22"/>
          <w:szCs w:val="22"/>
        </w:rPr>
      </w:pPr>
      <w:r>
        <w:rPr>
          <w:rFonts w:cs="Arial" w:ascii="Arial" w:hAnsi="Arial"/>
          <w:sz w:val="22"/>
          <w:szCs w:val="22"/>
        </w:rPr>
      </w:r>
    </w:p>
    <w:p>
      <w:pPr>
        <w:pStyle w:val="Normal"/>
        <w:numPr>
          <w:ilvl w:val="0"/>
          <w:numId w:val="7"/>
        </w:numPr>
        <w:tabs>
          <w:tab w:val="clear" w:pos="708"/>
          <w:tab w:val="left" w:pos="-142" w:leader="none"/>
        </w:tabs>
        <w:ind w:hanging="426" w:left="0"/>
        <w:jc w:val="both"/>
        <w:rPr>
          <w:rFonts w:ascii="Arial" w:hAnsi="Arial" w:cs="Arial"/>
          <w:sz w:val="22"/>
          <w:szCs w:val="22"/>
        </w:rPr>
      </w:pPr>
      <w:r>
        <w:rPr>
          <w:rFonts w:cs="Arial" w:ascii="Arial" w:hAnsi="Arial"/>
          <w:sz w:val="22"/>
          <w:szCs w:val="22"/>
        </w:rPr>
        <w:t xml:space="preserve">  </w:t>
      </w:r>
      <w:r>
        <w:rPr>
          <w:rFonts w:cs="Arial" w:ascii="Arial" w:hAnsi="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pPr>
        <w:pStyle w:val="Normal"/>
        <w:tabs>
          <w:tab w:val="clear" w:pos="708"/>
          <w:tab w:val="left" w:pos="-142" w:leader="none"/>
        </w:tabs>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2</w:t>
      </w:r>
    </w:p>
    <w:p>
      <w:pPr>
        <w:pStyle w:val="Normal"/>
        <w:jc w:val="center"/>
        <w:rPr>
          <w:rFonts w:ascii="Arial" w:hAnsi="Arial" w:cs="Arial"/>
          <w:sz w:val="22"/>
          <w:szCs w:val="22"/>
        </w:rPr>
      </w:pPr>
      <w:r>
        <w:rPr>
          <w:rFonts w:cs="Arial" w:ascii="Arial" w:hAnsi="Arial"/>
          <w:b/>
          <w:sz w:val="22"/>
          <w:szCs w:val="22"/>
        </w:rPr>
        <w:t xml:space="preserve">Oddělené soustřeďování komunálního odpadu </w:t>
      </w:r>
    </w:p>
    <w:p>
      <w:pPr>
        <w:pStyle w:val="Normal"/>
        <w:jc w:val="center"/>
        <w:rPr>
          <w:rFonts w:ascii="Arial" w:hAnsi="Arial" w:cs="Arial"/>
          <w:sz w:val="22"/>
          <w:szCs w:val="22"/>
        </w:rPr>
      </w:pPr>
      <w:r>
        <w:rPr>
          <w:rFonts w:cs="Arial" w:ascii="Arial" w:hAnsi="Arial"/>
          <w:sz w:val="22"/>
          <w:szCs w:val="22"/>
        </w:rPr>
      </w:r>
    </w:p>
    <w:p>
      <w:pPr>
        <w:pStyle w:val="Normal"/>
        <w:numPr>
          <w:ilvl w:val="0"/>
          <w:numId w:val="5"/>
        </w:numPr>
        <w:jc w:val="both"/>
        <w:rPr>
          <w:rFonts w:ascii="Arial" w:hAnsi="Arial" w:cs="Arial"/>
          <w:sz w:val="22"/>
          <w:szCs w:val="22"/>
        </w:rPr>
      </w:pPr>
      <w:r>
        <w:rPr>
          <w:rFonts w:cs="Arial" w:ascii="Arial" w:hAnsi="Arial"/>
          <w:sz w:val="22"/>
          <w:szCs w:val="22"/>
        </w:rPr>
        <w:t>Osoby předávající komunální odpad na místa určená městysem jsou povinny odděleně soustřeďovat následující složky:</w:t>
      </w:r>
    </w:p>
    <w:p>
      <w:pPr>
        <w:pStyle w:val="Normal"/>
        <w:rPr>
          <w:rFonts w:ascii="Arial" w:hAnsi="Arial" w:cs="Arial"/>
          <w:i/>
          <w:i/>
          <w:iCs/>
          <w:sz w:val="22"/>
          <w:szCs w:val="22"/>
        </w:rPr>
      </w:pPr>
      <w:r>
        <w:rPr>
          <w:rFonts w:cs="Arial" w:ascii="Arial" w:hAnsi="Arial"/>
          <w:i/>
          <w:iCs/>
          <w:sz w:val="22"/>
          <w:szCs w:val="22"/>
        </w:rPr>
      </w:r>
    </w:p>
    <w:p>
      <w:pPr>
        <w:pStyle w:val="ListParagraph"/>
        <w:numPr>
          <w:ilvl w:val="0"/>
          <w:numId w:val="3"/>
        </w:numPr>
        <w:spacing w:lineRule="auto" w:line="240" w:before="0" w:after="0"/>
        <w:contextualSpacing/>
        <w:rPr>
          <w:rFonts w:ascii="Arial" w:hAnsi="Arial" w:cs="Arial"/>
          <w:bCs/>
          <w:i/>
          <w:i/>
          <w:color w:val="000000"/>
        </w:rPr>
      </w:pPr>
      <w:r>
        <w:rPr>
          <w:rFonts w:cs="Arial" w:ascii="Arial" w:hAnsi="Arial"/>
          <w:bCs/>
          <w:i/>
          <w:color w:val="000000"/>
        </w:rPr>
        <w:t>Biologické odpady</w:t>
      </w:r>
      <w:r>
        <w:rPr>
          <w:rFonts w:cs="Arial" w:ascii="Arial" w:hAnsi="Arial"/>
          <w:bCs/>
          <w:i/>
        </w:rPr>
        <w:t>,</w:t>
      </w:r>
    </w:p>
    <w:p>
      <w:pPr>
        <w:pStyle w:val="ListParagraph"/>
        <w:numPr>
          <w:ilvl w:val="0"/>
          <w:numId w:val="3"/>
        </w:numPr>
        <w:tabs>
          <w:tab w:val="clear" w:pos="708"/>
          <w:tab w:val="left" w:pos="567" w:leader="none"/>
        </w:tabs>
        <w:spacing w:lineRule="auto" w:line="240" w:before="0" w:after="0"/>
        <w:contextualSpacing/>
        <w:rPr>
          <w:rFonts w:ascii="Arial" w:hAnsi="Arial" w:cs="Arial"/>
          <w:bCs/>
          <w:i/>
          <w:i/>
          <w:color w:val="000000"/>
        </w:rPr>
      </w:pPr>
      <w:r>
        <w:rPr>
          <w:rFonts w:cs="Arial" w:ascii="Arial" w:hAnsi="Arial"/>
          <w:bCs/>
          <w:i/>
          <w:color w:val="000000"/>
        </w:rPr>
        <w:t>Papír,</w:t>
      </w:r>
    </w:p>
    <w:p>
      <w:pPr>
        <w:pStyle w:val="ListParagraph"/>
        <w:numPr>
          <w:ilvl w:val="0"/>
          <w:numId w:val="3"/>
        </w:numPr>
        <w:tabs>
          <w:tab w:val="clear" w:pos="708"/>
          <w:tab w:val="left" w:pos="567" w:leader="none"/>
        </w:tabs>
        <w:spacing w:lineRule="auto" w:line="240" w:before="0" w:after="0"/>
        <w:contextualSpacing/>
        <w:rPr>
          <w:highlight w:val="none"/>
          <w:shd w:fill="auto" w:val="clear"/>
        </w:rPr>
      </w:pPr>
      <w:r>
        <w:rPr>
          <w:rFonts w:cs="Arial" w:ascii="Arial" w:hAnsi="Arial"/>
          <w:bCs/>
          <w:i/>
          <w:color w:val="000000"/>
          <w:shd w:fill="auto" w:val="clear"/>
        </w:rPr>
        <w:t xml:space="preserve">Plasty včetně PET lahví a </w:t>
      </w:r>
      <w:r>
        <w:rPr>
          <w:rFonts w:cs="Arial" w:ascii="Arial" w:hAnsi="Arial"/>
          <w:bCs/>
          <w:i/>
          <w:color w:val="000000"/>
          <w:shd w:fill="auto" w:val="clear"/>
        </w:rPr>
        <w:t>nápojového kartonu</w:t>
      </w:r>
    </w:p>
    <w:p>
      <w:pPr>
        <w:pStyle w:val="ListParagraph"/>
        <w:numPr>
          <w:ilvl w:val="0"/>
          <w:numId w:val="3"/>
        </w:numPr>
        <w:spacing w:lineRule="auto" w:line="240" w:before="0" w:after="0"/>
        <w:contextualSpacing/>
        <w:rPr>
          <w:rFonts w:ascii="Arial" w:hAnsi="Arial" w:cs="Arial"/>
          <w:bCs/>
          <w:i/>
          <w:i/>
          <w:color w:val="000000"/>
        </w:rPr>
      </w:pPr>
      <w:r>
        <w:rPr>
          <w:rFonts w:cs="Arial" w:ascii="Arial" w:hAnsi="Arial"/>
          <w:bCs/>
          <w:i/>
          <w:color w:val="000000"/>
        </w:rPr>
        <w:t>Sklo,</w:t>
      </w:r>
    </w:p>
    <w:p>
      <w:pPr>
        <w:pStyle w:val="ListParagraph"/>
        <w:numPr>
          <w:ilvl w:val="0"/>
          <w:numId w:val="3"/>
        </w:numPr>
        <w:spacing w:lineRule="auto" w:line="240" w:before="0" w:after="0"/>
        <w:contextualSpacing/>
        <w:rPr>
          <w:rFonts w:ascii="Arial" w:hAnsi="Arial" w:cs="Arial"/>
          <w:bCs/>
          <w:i/>
          <w:i/>
          <w:color w:val="000000"/>
        </w:rPr>
      </w:pPr>
      <w:r>
        <w:rPr>
          <w:rFonts w:cs="Arial" w:ascii="Arial" w:hAnsi="Arial"/>
          <w:bCs/>
          <w:i/>
          <w:color w:val="000000"/>
        </w:rPr>
        <w:t>Kovy,</w:t>
      </w:r>
    </w:p>
    <w:p>
      <w:pPr>
        <w:pStyle w:val="Normal"/>
        <w:numPr>
          <w:ilvl w:val="0"/>
          <w:numId w:val="3"/>
        </w:numPr>
        <w:rPr>
          <w:rFonts w:ascii="Arial" w:hAnsi="Arial" w:cs="Arial"/>
          <w:i/>
          <w:i/>
          <w:iCs/>
          <w:sz w:val="22"/>
          <w:szCs w:val="22"/>
        </w:rPr>
      </w:pPr>
      <w:r>
        <w:rPr>
          <w:rFonts w:cs="Arial" w:ascii="Arial" w:hAnsi="Arial"/>
          <w:bCs/>
          <w:i/>
          <w:color w:val="000000"/>
          <w:sz w:val="22"/>
          <w:szCs w:val="22"/>
        </w:rPr>
        <w:t>Nebezpečné odpady,</w:t>
      </w:r>
    </w:p>
    <w:p>
      <w:pPr>
        <w:pStyle w:val="Normal"/>
        <w:numPr>
          <w:ilvl w:val="0"/>
          <w:numId w:val="3"/>
        </w:numPr>
        <w:rPr>
          <w:rFonts w:ascii="Arial" w:hAnsi="Arial" w:cs="Arial"/>
          <w:bCs/>
          <w:i/>
          <w:i/>
          <w:color w:val="000000"/>
          <w:sz w:val="22"/>
          <w:szCs w:val="22"/>
        </w:rPr>
      </w:pPr>
      <w:r>
        <w:rPr>
          <w:rFonts w:cs="Arial" w:ascii="Arial" w:hAnsi="Arial"/>
          <w:bCs/>
          <w:i/>
          <w:color w:val="000000"/>
          <w:sz w:val="22"/>
          <w:szCs w:val="22"/>
        </w:rPr>
        <w:t>Objemný odpad,</w:t>
      </w:r>
    </w:p>
    <w:p>
      <w:pPr>
        <w:pStyle w:val="Normal"/>
        <w:numPr>
          <w:ilvl w:val="0"/>
          <w:numId w:val="3"/>
        </w:numPr>
        <w:rPr>
          <w:rFonts w:ascii="Arial" w:hAnsi="Arial" w:cs="Arial"/>
          <w:i/>
          <w:i/>
          <w:iCs/>
          <w:sz w:val="22"/>
          <w:szCs w:val="22"/>
        </w:rPr>
      </w:pPr>
      <w:r>
        <w:rPr>
          <w:rFonts w:cs="Arial" w:ascii="Arial" w:hAnsi="Arial"/>
          <w:i/>
          <w:iCs/>
          <w:sz w:val="22"/>
          <w:szCs w:val="22"/>
        </w:rPr>
        <w:t>Jedlé oleje a tuky,</w:t>
      </w:r>
    </w:p>
    <w:p>
      <w:pPr>
        <w:pStyle w:val="Normal"/>
        <w:numPr>
          <w:ilvl w:val="0"/>
          <w:numId w:val="3"/>
        </w:numPr>
        <w:rPr>
          <w:rFonts w:ascii="Arial" w:hAnsi="Arial" w:cs="Arial"/>
          <w:i/>
          <w:i/>
          <w:iCs/>
          <w:sz w:val="22"/>
          <w:szCs w:val="22"/>
        </w:rPr>
      </w:pPr>
      <w:r>
        <w:rPr>
          <w:rFonts w:cs="Arial" w:ascii="Arial" w:hAnsi="Arial"/>
          <w:i/>
          <w:iCs/>
          <w:sz w:val="22"/>
          <w:szCs w:val="22"/>
        </w:rPr>
        <w:t xml:space="preserve">Textil </w:t>
      </w:r>
    </w:p>
    <w:p>
      <w:pPr>
        <w:pStyle w:val="Normal"/>
        <w:numPr>
          <w:ilvl w:val="0"/>
          <w:numId w:val="3"/>
        </w:numPr>
        <w:rPr>
          <w:rFonts w:ascii="Arial" w:hAnsi="Arial" w:cs="Arial"/>
          <w:i/>
          <w:i/>
          <w:iCs/>
          <w:sz w:val="22"/>
          <w:szCs w:val="22"/>
        </w:rPr>
      </w:pPr>
      <w:r>
        <w:rPr>
          <w:rFonts w:cs="Arial" w:ascii="Arial" w:hAnsi="Arial"/>
          <w:i/>
          <w:iCs/>
          <w:sz w:val="22"/>
          <w:szCs w:val="22"/>
        </w:rPr>
        <w:t>Směsný komunální odpad</w:t>
      </w:r>
    </w:p>
    <w:p>
      <w:pPr>
        <w:pStyle w:val="Normal"/>
        <w:rPr>
          <w:rFonts w:ascii="Arial" w:hAnsi="Arial" w:cs="Arial"/>
          <w:i/>
          <w:i/>
          <w:color w:val="00B0F0"/>
          <w:sz w:val="22"/>
          <w:szCs w:val="22"/>
        </w:rPr>
      </w:pPr>
      <w:r>
        <w:rPr>
          <w:rFonts w:cs="Arial" w:ascii="Arial" w:hAnsi="Arial"/>
          <w:i/>
          <w:color w:val="00B0F0"/>
          <w:sz w:val="22"/>
          <w:szCs w:val="22"/>
        </w:rPr>
        <w:t xml:space="preserve"> </w:t>
      </w:r>
    </w:p>
    <w:p>
      <w:pPr>
        <w:pStyle w:val="BodyTextIndent"/>
        <w:numPr>
          <w:ilvl w:val="0"/>
          <w:numId w:val="5"/>
        </w:numPr>
        <w:rPr>
          <w:rFonts w:ascii="Arial" w:hAnsi="Arial" w:cs="Arial"/>
          <w:sz w:val="22"/>
          <w:szCs w:val="22"/>
        </w:rPr>
      </w:pPr>
      <w:r>
        <w:rPr>
          <w:rFonts w:cs="Arial" w:ascii="Arial" w:hAnsi="Arial"/>
          <w:sz w:val="22"/>
          <w:szCs w:val="22"/>
        </w:rPr>
        <w:t>Směsným komunálním odpadem se rozumí zbylý komunální odpad po stanoveném vytřídění podle odstavce 1 písm. a), b), c), d), e), f), g), h) a i).</w:t>
      </w:r>
    </w:p>
    <w:p>
      <w:pPr>
        <w:pStyle w:val="BodyTextIndent"/>
        <w:ind w:hanging="0" w:left="360"/>
        <w:rPr>
          <w:rFonts w:ascii="Arial" w:hAnsi="Arial" w:cs="Arial"/>
          <w:sz w:val="22"/>
          <w:szCs w:val="22"/>
        </w:rPr>
      </w:pPr>
      <w:r>
        <w:rPr>
          <w:rFonts w:cs="Arial" w:ascii="Arial" w:hAnsi="Arial"/>
          <w:sz w:val="22"/>
          <w:szCs w:val="22"/>
        </w:rPr>
      </w:r>
    </w:p>
    <w:p>
      <w:pPr>
        <w:pStyle w:val="BodyTextIndent"/>
        <w:numPr>
          <w:ilvl w:val="0"/>
          <w:numId w:val="5"/>
        </w:numPr>
        <w:rPr>
          <w:rFonts w:ascii="Arial" w:hAnsi="Arial" w:cs="Arial"/>
          <w:sz w:val="22"/>
          <w:szCs w:val="22"/>
        </w:rPr>
      </w:pPr>
      <w:r>
        <w:rPr>
          <w:rFonts w:cs="Arial" w:ascii="Arial" w:hAnsi="Arial"/>
          <w:sz w:val="22"/>
          <w:szCs w:val="22"/>
        </w:rPr>
        <w:t>Objemný odpad je takový odpad, který vzhledem ke svým rozměrům nemůže být umístěn do sběrných nádob (</w:t>
      </w:r>
      <w:r>
        <w:rPr>
          <w:rFonts w:cs="Arial" w:ascii="Arial" w:hAnsi="Arial"/>
          <w:i/>
          <w:iCs/>
          <w:sz w:val="22"/>
          <w:szCs w:val="22"/>
        </w:rPr>
        <w:t>např. koberce, matrace, nábytek,…</w:t>
      </w:r>
      <w:r>
        <w:rPr>
          <w:rFonts w:cs="Arial" w:ascii="Arial" w:hAnsi="Arial"/>
          <w:sz w:val="22"/>
          <w:szCs w:val="22"/>
        </w:rPr>
        <w:t xml:space="preserve"> ).</w:t>
      </w:r>
    </w:p>
    <w:p>
      <w:pPr>
        <w:pStyle w:val="BodyTextIndent"/>
        <w:ind w:hanging="0" w:left="360"/>
        <w:rPr>
          <w:rFonts w:ascii="Arial" w:hAnsi="Arial" w:cs="Arial"/>
          <w:sz w:val="22"/>
          <w:szCs w:val="22"/>
        </w:rPr>
      </w:pPr>
      <w:r>
        <w:rPr>
          <w:rFonts w:cs="Arial" w:ascii="Arial" w:hAnsi="Arial"/>
          <w:sz w:val="22"/>
          <w:szCs w:val="22"/>
        </w:rPr>
      </w:r>
    </w:p>
    <w:p>
      <w:pPr>
        <w:pStyle w:val="BodyTextIndent"/>
        <w:ind w:hanging="0" w:left="720"/>
        <w:jc w:val="center"/>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t>Čl. 3</w:t>
      </w:r>
    </w:p>
    <w:p>
      <w:pPr>
        <w:pStyle w:val="Normal"/>
        <w:jc w:val="center"/>
        <w:rPr>
          <w:rFonts w:ascii="Arial" w:hAnsi="Arial" w:cs="Arial"/>
          <w:b/>
          <w:sz w:val="22"/>
          <w:szCs w:val="22"/>
        </w:rPr>
      </w:pPr>
      <w:r>
        <w:rPr>
          <w:rFonts w:cs="Arial" w:ascii="Arial" w:hAnsi="Arial"/>
          <w:b/>
          <w:sz w:val="22"/>
          <w:szCs w:val="22"/>
        </w:rPr>
        <w:t>Určení míst pro oddělené soustřeďování určených složek komunálního odpadu</w:t>
      </w:r>
    </w:p>
    <w:p>
      <w:pPr>
        <w:pStyle w:val="Normal"/>
        <w:tabs>
          <w:tab w:val="clear" w:pos="708"/>
          <w:tab w:val="left" w:pos="927" w:leader="none"/>
        </w:tabs>
        <w:jc w:val="both"/>
        <w:rPr>
          <w:rFonts w:ascii="Arial" w:hAnsi="Arial" w:cs="Arial"/>
          <w:b/>
          <w:sz w:val="22"/>
          <w:szCs w:val="22"/>
          <w:u w:val="single"/>
        </w:rPr>
      </w:pPr>
      <w:r>
        <w:rPr>
          <w:rFonts w:cs="Arial" w:ascii="Arial" w:hAnsi="Arial"/>
          <w:b/>
          <w:sz w:val="22"/>
          <w:szCs w:val="22"/>
          <w:u w:val="single"/>
        </w:rPr>
      </w:r>
    </w:p>
    <w:p>
      <w:pPr>
        <w:pStyle w:val="Normal"/>
        <w:numPr>
          <w:ilvl w:val="0"/>
          <w:numId w:val="1"/>
        </w:numPr>
        <w:tabs>
          <w:tab w:val="clear" w:pos="708"/>
          <w:tab w:val="left" w:pos="540" w:leader="none"/>
          <w:tab w:val="left" w:pos="927" w:leader="none"/>
        </w:tabs>
        <w:jc w:val="both"/>
        <w:rPr>
          <w:rFonts w:ascii="Arial" w:hAnsi="Arial" w:cs="Arial"/>
          <w:sz w:val="22"/>
          <w:szCs w:val="22"/>
        </w:rPr>
      </w:pPr>
      <w:r>
        <w:rPr>
          <w:rFonts w:cs="Arial" w:ascii="Arial" w:hAnsi="Arial"/>
          <w:sz w:val="22"/>
          <w:szCs w:val="22"/>
        </w:rPr>
        <w:t xml:space="preserve">Papír, plasty, sklo, kovy, biologické odpady, textil se soustřeďují do </w:t>
      </w:r>
      <w:r>
        <w:rPr>
          <w:rFonts w:cs="Arial" w:ascii="Arial" w:hAnsi="Arial"/>
          <w:bCs/>
          <w:sz w:val="22"/>
          <w:szCs w:val="22"/>
        </w:rPr>
        <w:t>zvláštních sběrných nádob</w:t>
      </w:r>
      <w:r>
        <w:rPr>
          <w:rFonts w:cs="Arial" w:ascii="Arial" w:hAnsi="Arial"/>
          <w:sz w:val="22"/>
          <w:szCs w:val="22"/>
        </w:rPr>
        <w:t xml:space="preserve">, kterými jsou </w:t>
      </w:r>
      <w:r>
        <w:rPr>
          <w:rFonts w:cs="Arial" w:ascii="Arial" w:hAnsi="Arial"/>
          <w:iCs/>
          <w:sz w:val="22"/>
          <w:szCs w:val="22"/>
        </w:rPr>
        <w:t>barevné sběrné nádoby.</w:t>
      </w:r>
    </w:p>
    <w:p>
      <w:pPr>
        <w:pStyle w:val="Normal"/>
        <w:rPr>
          <w:rFonts w:ascii="Arial" w:hAnsi="Arial" w:cs="Arial"/>
          <w:sz w:val="22"/>
          <w:szCs w:val="22"/>
        </w:rPr>
      </w:pPr>
      <w:r>
        <w:rPr>
          <w:rFonts w:cs="Arial" w:ascii="Arial" w:hAnsi="Arial"/>
          <w:sz w:val="22"/>
          <w:szCs w:val="22"/>
        </w:rPr>
      </w:r>
    </w:p>
    <w:p>
      <w:pPr>
        <w:pStyle w:val="Normal"/>
        <w:numPr>
          <w:ilvl w:val="0"/>
          <w:numId w:val="1"/>
        </w:numPr>
        <w:tabs>
          <w:tab w:val="clear" w:pos="708"/>
          <w:tab w:val="left" w:pos="540" w:leader="none"/>
          <w:tab w:val="left" w:pos="927" w:leader="none"/>
        </w:tabs>
        <w:jc w:val="both"/>
        <w:rPr>
          <w:rFonts w:ascii="Arial" w:hAnsi="Arial" w:cs="Arial"/>
          <w:sz w:val="22"/>
          <w:szCs w:val="22"/>
        </w:rPr>
      </w:pPr>
      <w:r>
        <w:rPr>
          <w:rFonts w:cs="Arial" w:ascii="Arial" w:hAnsi="Arial"/>
          <w:sz w:val="22"/>
          <w:szCs w:val="22"/>
        </w:rPr>
        <w:t xml:space="preserve">Zvláštní sběrné nádoby jsou umístěny ve sběrných hnízdech uvedených na </w:t>
      </w:r>
      <w:r>
        <w:rPr>
          <w:rFonts w:cs="Arial" w:ascii="Arial" w:hAnsi="Arial"/>
          <w:sz w:val="22"/>
          <w:szCs w:val="22"/>
          <w:shd w:fill="auto" w:val="clear"/>
        </w:rPr>
        <w:t>www.strazny.cz.</w:t>
      </w:r>
    </w:p>
    <w:p>
      <w:pPr>
        <w:pStyle w:val="Normal"/>
        <w:jc w:val="both"/>
        <w:rPr>
          <w:rFonts w:ascii="Arial" w:hAnsi="Arial" w:cs="Arial"/>
          <w:sz w:val="22"/>
          <w:szCs w:val="22"/>
        </w:rPr>
      </w:pPr>
      <w:r>
        <w:rPr>
          <w:rFonts w:cs="Arial" w:ascii="Arial" w:hAnsi="Arial"/>
          <w:sz w:val="22"/>
          <w:szCs w:val="22"/>
        </w:rPr>
      </w:r>
    </w:p>
    <w:p>
      <w:pPr>
        <w:pStyle w:val="NormlnIMP"/>
        <w:numPr>
          <w:ilvl w:val="0"/>
          <w:numId w:val="1"/>
        </w:numPr>
        <w:tabs>
          <w:tab w:val="clear" w:pos="708"/>
          <w:tab w:val="left" w:pos="540" w:leader="none"/>
          <w:tab w:val="left" w:pos="927" w:leader="none"/>
        </w:tabs>
        <w:suppressAutoHyphens w:val="false"/>
        <w:overflowPunct w:val="true"/>
        <w:spacing w:lineRule="auto" w:line="240"/>
        <w:ind w:hanging="0" w:left="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jc w:val="both"/>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Biologické odpady, barva hnědá</w:t>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Papír, barva modrá</w:t>
      </w:r>
    </w:p>
    <w:p>
      <w:pPr>
        <w:pStyle w:val="ListParagraph"/>
        <w:numPr>
          <w:ilvl w:val="0"/>
          <w:numId w:val="6"/>
        </w:numPr>
        <w:spacing w:lineRule="auto" w:line="240" w:before="0" w:after="0"/>
        <w:contextualSpacing/>
        <w:rPr>
          <w:highlight w:val="none"/>
          <w:shd w:fill="auto" w:val="clear"/>
        </w:rPr>
      </w:pPr>
      <w:r>
        <w:rPr>
          <w:rFonts w:cs="Arial" w:ascii="Arial" w:hAnsi="Arial"/>
          <w:bCs/>
          <w:i/>
          <w:color w:val="000000"/>
          <w:shd w:fill="auto" w:val="clear"/>
        </w:rPr>
        <w:t>Plasty, PET lahve</w:t>
      </w:r>
      <w:r>
        <w:rPr>
          <w:rFonts w:cs="Arial" w:ascii="Arial" w:hAnsi="Arial"/>
          <w:bCs/>
          <w:i/>
          <w:color w:val="000000"/>
          <w:shd w:fill="auto" w:val="clear"/>
        </w:rPr>
        <w:t>, n</w:t>
      </w:r>
      <w:r>
        <w:rPr>
          <w:rFonts w:cs="Arial" w:ascii="Arial" w:hAnsi="Arial"/>
          <w:bCs/>
          <w:i/>
          <w:color w:val="000000"/>
          <w:shd w:fill="auto" w:val="clear"/>
        </w:rPr>
        <w:t>ápojový karton,</w:t>
      </w:r>
      <w:r>
        <w:rPr>
          <w:rFonts w:cs="Arial" w:ascii="Arial" w:hAnsi="Arial"/>
          <w:bCs/>
          <w:i/>
          <w:color w:val="000000"/>
          <w:shd w:fill="auto" w:val="clear"/>
        </w:rPr>
        <w:t xml:space="preserve"> barva žlutá</w:t>
      </w:r>
    </w:p>
    <w:p>
      <w:pPr>
        <w:pStyle w:val="ListParagraph"/>
        <w:numPr>
          <w:ilvl w:val="0"/>
          <w:numId w:val="6"/>
        </w:numPr>
        <w:spacing w:lineRule="auto" w:line="240" w:before="0" w:after="0"/>
        <w:contextualSpacing/>
        <w:rPr>
          <w:rFonts w:ascii="Arial" w:hAnsi="Arial" w:cs="Arial"/>
          <w:bCs/>
          <w:i/>
          <w:i/>
          <w:color w:val="000000"/>
        </w:rPr>
      </w:pPr>
      <w:r>
        <w:rPr>
          <w:rFonts w:cs="Arial" w:ascii="Arial" w:hAnsi="Arial"/>
          <w:bCs/>
          <w:i/>
          <w:color w:val="000000"/>
        </w:rPr>
        <w:t>Sklo, barva bílá pro bílé sklo, zelená pro směsné sklo</w:t>
      </w:r>
    </w:p>
    <w:p>
      <w:pPr>
        <w:pStyle w:val="ListParagraph"/>
        <w:numPr>
          <w:ilvl w:val="0"/>
          <w:numId w:val="6"/>
        </w:numPr>
        <w:spacing w:lineRule="auto" w:line="240" w:before="0" w:after="0"/>
        <w:contextualSpacing/>
        <w:rPr>
          <w:rFonts w:ascii="Arial" w:hAnsi="Arial" w:cs="Arial"/>
          <w:bCs/>
          <w:i/>
          <w:i/>
        </w:rPr>
      </w:pPr>
      <w:r>
        <w:rPr>
          <w:rFonts w:cs="Arial" w:ascii="Arial" w:hAnsi="Arial"/>
          <w:bCs/>
          <w:i/>
          <w:color w:val="000000"/>
        </w:rPr>
        <w:t>Kovy, barva šedá,</w:t>
      </w:r>
    </w:p>
    <w:p>
      <w:pPr>
        <w:pStyle w:val="Normal"/>
        <w:numPr>
          <w:ilvl w:val="0"/>
          <w:numId w:val="6"/>
        </w:numPr>
        <w:rPr>
          <w:rFonts w:ascii="Arial" w:hAnsi="Arial" w:cs="Arial"/>
          <w:i/>
          <w:i/>
          <w:iCs/>
          <w:sz w:val="22"/>
          <w:szCs w:val="22"/>
        </w:rPr>
      </w:pPr>
      <w:r>
        <w:rPr>
          <w:rFonts w:cs="Arial" w:ascii="Arial" w:hAnsi="Arial"/>
          <w:i/>
          <w:iCs/>
          <w:sz w:val="22"/>
          <w:szCs w:val="22"/>
        </w:rPr>
        <w:t>Jedlé oleje a tuky, barva zelená</w:t>
      </w:r>
    </w:p>
    <w:p>
      <w:pPr>
        <w:pStyle w:val="Normal"/>
        <w:numPr>
          <w:ilvl w:val="0"/>
          <w:numId w:val="6"/>
        </w:numPr>
        <w:rPr>
          <w:rFonts w:ascii="Arial" w:hAnsi="Arial" w:cs="Arial"/>
          <w:i/>
          <w:i/>
          <w:iCs/>
          <w:sz w:val="22"/>
          <w:szCs w:val="22"/>
        </w:rPr>
      </w:pPr>
      <w:r>
        <w:rPr>
          <w:rFonts w:cs="Arial" w:ascii="Arial" w:hAnsi="Arial"/>
          <w:i/>
          <w:iCs/>
          <w:sz w:val="22"/>
          <w:szCs w:val="22"/>
        </w:rPr>
        <w:t>Textil, barva bílá</w:t>
      </w:r>
    </w:p>
    <w:p>
      <w:pPr>
        <w:pStyle w:val="Normal"/>
        <w:ind w:left="360"/>
        <w:rPr>
          <w:rFonts w:ascii="Arial" w:hAnsi="Arial" w:cs="Arial"/>
          <w:i/>
          <w:i/>
          <w:iCs/>
          <w:sz w:val="22"/>
          <w:szCs w:val="22"/>
        </w:rPr>
      </w:pPr>
      <w:r>
        <w:rPr>
          <w:rFonts w:cs="Arial" w:ascii="Arial" w:hAnsi="Arial"/>
          <w:i/>
          <w:iCs/>
          <w:sz w:val="22"/>
          <w:szCs w:val="22"/>
        </w:rPr>
      </w:r>
    </w:p>
    <w:p>
      <w:pPr>
        <w:pStyle w:val="Normal"/>
        <w:numPr>
          <w:ilvl w:val="0"/>
          <w:numId w:val="1"/>
        </w:numPr>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jc w:val="both"/>
        <w:rPr>
          <w:rFonts w:ascii="Arial" w:hAnsi="Arial" w:cs="Arial"/>
          <w:sz w:val="22"/>
          <w:szCs w:val="22"/>
        </w:rPr>
      </w:pPr>
      <w:r>
        <w:rPr>
          <w:rFonts w:cs="Arial" w:ascii="Arial" w:hAnsi="Arial"/>
          <w:sz w:val="22"/>
          <w:szCs w:val="22"/>
        </w:rPr>
      </w:r>
    </w:p>
    <w:p>
      <w:pPr>
        <w:pStyle w:val="Normal"/>
        <w:numPr>
          <w:ilvl w:val="0"/>
          <w:numId w:val="1"/>
        </w:numPr>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Default"/>
        <w:ind w:left="360"/>
        <w:rPr/>
      </w:pPr>
      <w:r>
        <w:rPr/>
      </w:r>
    </w:p>
    <w:p>
      <w:pPr>
        <w:pStyle w:val="Normal"/>
        <w:numPr>
          <w:ilvl w:val="0"/>
          <w:numId w:val="1"/>
        </w:numPr>
        <w:jc w:val="both"/>
        <w:rPr>
          <w:rFonts w:ascii="Arial" w:hAnsi="Arial" w:cs="Arial"/>
          <w:sz w:val="22"/>
          <w:szCs w:val="22"/>
        </w:rPr>
      </w:pPr>
      <w:r>
        <w:rPr>
          <w:rFonts w:cs="Arial" w:ascii="Arial" w:hAnsi="Arial"/>
          <w:sz w:val="22"/>
          <w:szCs w:val="22"/>
        </w:rPr>
        <w:t>Papír, plasty, sklo, kovy, jedlé oleje a biologický odpad lze také odevzdávat na sběrném místě, který se nachází v areálu ČOV – Strážný parc.č. 590/5 v k.ú. Strážný.</w:t>
      </w:r>
    </w:p>
    <w:p>
      <w:pPr>
        <w:pStyle w:val="Default"/>
        <w:ind w:left="360"/>
        <w:rPr/>
      </w:pPr>
      <w:r>
        <w:rPr/>
      </w:r>
    </w:p>
    <w:p>
      <w:pPr>
        <w:pStyle w:val="Heading2"/>
        <w:jc w:val="center"/>
        <w:rPr>
          <w:rFonts w:ascii="Arial" w:hAnsi="Arial" w:cs="Arial"/>
          <w:b/>
          <w:bCs/>
          <w:sz w:val="22"/>
          <w:szCs w:val="22"/>
          <w:u w:val="none"/>
        </w:rPr>
      </w:pPr>
      <w:r>
        <w:rPr>
          <w:rFonts w:cs="Arial" w:ascii="Arial" w:hAnsi="Arial"/>
          <w:b/>
          <w:bCs/>
          <w:sz w:val="22"/>
          <w:szCs w:val="22"/>
          <w:u w:val="none"/>
        </w:rPr>
        <w:t>Čl. 4</w:t>
      </w:r>
    </w:p>
    <w:p>
      <w:pPr>
        <w:pStyle w:val="Heading2"/>
        <w:jc w:val="center"/>
        <w:rPr>
          <w:rFonts w:ascii="Arial" w:hAnsi="Arial" w:cs="Arial"/>
          <w:b/>
          <w:bCs/>
          <w:sz w:val="22"/>
          <w:szCs w:val="22"/>
          <w:u w:val="none"/>
        </w:rPr>
      </w:pPr>
      <w:r>
        <w:rPr>
          <w:rFonts w:cs="Arial" w:ascii="Arial" w:hAnsi="Arial"/>
          <w:b/>
          <w:bCs/>
          <w:sz w:val="22"/>
          <w:szCs w:val="22"/>
          <w:u w:val="none"/>
        </w:rPr>
        <w:t xml:space="preserve"> </w:t>
      </w:r>
      <w:r>
        <w:rPr>
          <w:rFonts w:cs="Arial" w:ascii="Arial" w:hAnsi="Arial"/>
          <w:b/>
          <w:bCs/>
          <w:sz w:val="22"/>
          <w:szCs w:val="22"/>
          <w:u w:val="none"/>
        </w:rPr>
        <w:t xml:space="preserve">Soustřeďování nebezpečných složek komunálního odpadu </w:t>
      </w:r>
    </w:p>
    <w:p>
      <w:pPr>
        <w:pStyle w:val="Normal"/>
        <w:jc w:val="both"/>
        <w:rPr>
          <w:rFonts w:ascii="Arial" w:hAnsi="Arial" w:cs="Arial"/>
          <w:i/>
          <w:i/>
          <w:iCs/>
          <w:sz w:val="22"/>
          <w:szCs w:val="22"/>
        </w:rPr>
      </w:pPr>
      <w:r>
        <w:rPr>
          <w:rFonts w:cs="Arial" w:ascii="Arial" w:hAnsi="Arial"/>
          <w:i/>
          <w:iCs/>
          <w:sz w:val="22"/>
          <w:szCs w:val="22"/>
        </w:rPr>
      </w:r>
    </w:p>
    <w:p>
      <w:pPr>
        <w:pStyle w:val="Normal"/>
        <w:numPr>
          <w:ilvl w:val="0"/>
          <w:numId w:val="4"/>
        </w:numPr>
        <w:jc w:val="both"/>
        <w:rPr>
          <w:rFonts w:ascii="Arial" w:hAnsi="Arial" w:cs="Arial"/>
          <w:sz w:val="22"/>
          <w:szCs w:val="22"/>
        </w:rPr>
      </w:pPr>
      <w:r>
        <w:rPr>
          <w:rFonts w:cs="Arial" w:ascii="Arial" w:hAnsi="Arial"/>
          <w:sz w:val="22"/>
          <w:szCs w:val="22"/>
        </w:rPr>
        <w:t>Nebezpečný odpad lze odevzdávat na sběrném místě v areálu ČOV – Strážný parc.č. 590/5  (barvy a laky, náplně z tiskáren, oleje, motorový olej).</w:t>
      </w:r>
    </w:p>
    <w:p>
      <w:pPr>
        <w:pStyle w:val="Normal"/>
        <w:ind w:left="360"/>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rPr>
          <w:rFonts w:ascii="Arial" w:hAnsi="Arial" w:cs="Arial"/>
          <w:b/>
          <w:sz w:val="22"/>
          <w:szCs w:val="22"/>
        </w:rPr>
      </w:pPr>
      <w:r>
        <w:rPr>
          <w:rFonts w:cs="Arial" w:ascii="Arial" w:hAnsi="Arial"/>
          <w:b/>
          <w:sz w:val="22"/>
          <w:szCs w:val="22"/>
        </w:rPr>
      </w:r>
    </w:p>
    <w:p>
      <w:pPr>
        <w:pStyle w:val="Normal"/>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5</w:t>
      </w:r>
    </w:p>
    <w:p>
      <w:pPr>
        <w:pStyle w:val="Normal"/>
        <w:jc w:val="center"/>
        <w:rPr>
          <w:rFonts w:ascii="Arial" w:hAnsi="Arial" w:cs="Arial"/>
          <w:sz w:val="22"/>
          <w:szCs w:val="22"/>
        </w:rPr>
      </w:pPr>
      <w:r>
        <w:rPr>
          <w:rFonts w:cs="Arial" w:ascii="Arial" w:hAnsi="Arial"/>
          <w:b/>
          <w:sz w:val="22"/>
          <w:szCs w:val="22"/>
        </w:rPr>
        <w:t xml:space="preserve"> </w:t>
      </w:r>
      <w:r>
        <w:rPr>
          <w:rFonts w:cs="Arial" w:ascii="Arial" w:hAnsi="Arial"/>
          <w:b/>
          <w:sz w:val="22"/>
          <w:szCs w:val="22"/>
        </w:rPr>
        <w:t>Soustřeďování objemného odpadu</w:t>
      </w:r>
    </w:p>
    <w:p>
      <w:pPr>
        <w:pStyle w:val="Normal"/>
        <w:jc w:val="both"/>
        <w:rPr>
          <w:rFonts w:ascii="Arial" w:hAnsi="Arial" w:cs="Arial"/>
          <w:iCs/>
          <w:sz w:val="22"/>
          <w:szCs w:val="22"/>
        </w:rPr>
      </w:pPr>
      <w:r>
        <w:rPr>
          <w:rFonts w:cs="Arial" w:ascii="Arial" w:hAnsi="Arial"/>
          <w:iCs/>
          <w:sz w:val="22"/>
          <w:szCs w:val="22"/>
        </w:rPr>
      </w:r>
    </w:p>
    <w:p>
      <w:pPr>
        <w:pStyle w:val="Normal"/>
        <w:jc w:val="both"/>
        <w:rPr>
          <w:rFonts w:ascii="Arial" w:hAnsi="Arial" w:cs="Arial"/>
          <w:i/>
          <w:i/>
          <w:iCs/>
          <w:sz w:val="22"/>
          <w:szCs w:val="22"/>
        </w:rPr>
      </w:pPr>
      <w:r>
        <w:rPr>
          <w:rFonts w:cs="Arial" w:ascii="Arial" w:hAnsi="Arial"/>
          <w:i/>
          <w:iCs/>
          <w:sz w:val="22"/>
          <w:szCs w:val="22"/>
        </w:rPr>
      </w:r>
    </w:p>
    <w:p>
      <w:pPr>
        <w:pStyle w:val="Normal"/>
        <w:numPr>
          <w:ilvl w:val="0"/>
          <w:numId w:val="2"/>
        </w:numPr>
        <w:jc w:val="both"/>
        <w:rPr>
          <w:rFonts w:ascii="Arial" w:hAnsi="Arial" w:cs="Arial"/>
          <w:color w:val="00B0F0"/>
          <w:sz w:val="22"/>
          <w:szCs w:val="22"/>
        </w:rPr>
      </w:pPr>
      <w:r>
        <w:rPr>
          <w:rFonts w:cs="Arial" w:ascii="Arial" w:hAnsi="Arial"/>
          <w:sz w:val="22"/>
          <w:szCs w:val="22"/>
        </w:rPr>
        <w:t>Objemný odpad lze odevzdávat na sběrném místě (areál ČOV – Strážný parc.č. 590/5).</w:t>
      </w:r>
    </w:p>
    <w:p>
      <w:pPr>
        <w:pStyle w:val="NormlnIMP"/>
        <w:suppressAutoHyphens w:val="false"/>
        <w:overflowPunct w:val="true"/>
        <w:spacing w:lineRule="auto" w:line="240"/>
        <w:textAlignment w:val="auto"/>
        <w:rPr>
          <w:rFonts w:ascii="Arial" w:hAnsi="Arial" w:cs="Arial"/>
          <w:sz w:val="22"/>
          <w:szCs w:val="22"/>
        </w:rPr>
      </w:pPr>
      <w:r>
        <w:rPr>
          <w:rFonts w:cs="Arial" w:ascii="Arial" w:hAnsi="Arial"/>
          <w:sz w:val="22"/>
          <w:szCs w:val="22"/>
        </w:rPr>
      </w:r>
    </w:p>
    <w:p>
      <w:pPr>
        <w:pStyle w:val="Normal"/>
        <w:numPr>
          <w:ilvl w:val="0"/>
          <w:numId w:val="2"/>
        </w:numPr>
        <w:tabs>
          <w:tab w:val="clear" w:pos="708"/>
          <w:tab w:val="left" w:pos="567" w:leader="none"/>
        </w:tabs>
        <w:ind w:hanging="0" w:left="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rPr>
          <w:rFonts w:ascii="Arial" w:hAnsi="Arial" w:cs="Arial"/>
          <w:b/>
          <w:sz w:val="22"/>
          <w:szCs w:val="22"/>
          <w:highlight w:val="none"/>
          <w:shd w:fill="FFFF00" w:val="clear"/>
        </w:rPr>
      </w:pPr>
      <w:r>
        <w:rPr>
          <w:rFonts w:cs="Arial" w:ascii="Arial" w:hAnsi="Arial"/>
          <w:b/>
          <w:sz w:val="22"/>
          <w:szCs w:val="22"/>
          <w:shd w:fill="FFFF00" w:val="clear"/>
        </w:rPr>
      </w:r>
    </w:p>
    <w:p>
      <w:pPr>
        <w:pStyle w:val="Normal"/>
        <w:jc w:val="center"/>
        <w:rPr>
          <w:highlight w:val="none"/>
          <w:shd w:fill="auto" w:val="clear"/>
        </w:rPr>
      </w:pPr>
      <w:r>
        <w:rPr>
          <w:rFonts w:cs="Arial" w:ascii="Arial" w:hAnsi="Arial"/>
          <w:b/>
          <w:sz w:val="22"/>
          <w:szCs w:val="22"/>
          <w:shd w:fill="auto" w:val="clear"/>
        </w:rPr>
        <w:t>Čl. 6</w:t>
      </w:r>
    </w:p>
    <w:p>
      <w:pPr>
        <w:pStyle w:val="Normal"/>
        <w:jc w:val="center"/>
        <w:rPr>
          <w:highlight w:val="none"/>
          <w:shd w:fill="auto" w:val="clear"/>
        </w:rPr>
      </w:pPr>
      <w:r>
        <w:rPr>
          <w:rFonts w:cs="Arial" w:ascii="Arial" w:hAnsi="Arial"/>
          <w:b/>
          <w:sz w:val="22"/>
          <w:szCs w:val="22"/>
          <w:shd w:fill="auto" w:val="clear"/>
        </w:rPr>
        <w:t xml:space="preserve">Soustřeďování směsného komunálního odpadu </w:t>
      </w:r>
    </w:p>
    <w:p>
      <w:pPr>
        <w:pStyle w:val="Normal"/>
        <w:jc w:val="center"/>
        <w:rPr>
          <w:rFonts w:ascii="Arial" w:hAnsi="Arial" w:cs="Arial"/>
          <w:b/>
          <w:sz w:val="22"/>
          <w:szCs w:val="22"/>
          <w:highlight w:val="none"/>
          <w:shd w:fill="auto" w:val="clear"/>
        </w:rPr>
      </w:pPr>
      <w:r>
        <w:rPr>
          <w:rFonts w:cs="Arial" w:ascii="Arial" w:hAnsi="Arial"/>
          <w:b/>
          <w:sz w:val="22"/>
          <w:szCs w:val="22"/>
          <w:shd w:fill="auto" w:val="clear"/>
        </w:rPr>
      </w:r>
    </w:p>
    <w:p>
      <w:pPr>
        <w:pStyle w:val="Normal"/>
        <w:widowControl w:val="false"/>
        <w:numPr>
          <w:ilvl w:val="0"/>
          <w:numId w:val="9"/>
        </w:numPr>
        <w:ind w:hanging="426" w:left="426"/>
        <w:jc w:val="both"/>
        <w:rPr>
          <w:highlight w:val="none"/>
          <w:shd w:fill="auto" w:val="clear"/>
        </w:rPr>
      </w:pPr>
      <w:r>
        <w:rPr>
          <w:rFonts w:cs="Arial" w:ascii="Arial" w:hAnsi="Arial"/>
          <w:i w:val="false"/>
          <w:iCs w:val="false"/>
          <w:sz w:val="22"/>
          <w:szCs w:val="22"/>
          <w:shd w:fill="auto" w:val="clear"/>
        </w:rPr>
        <w:t>Směsný komunální odpad se odkládá do sběrných nádob. Pro účely této vyhlášky se sběrnými nádobami rozumějí</w:t>
      </w:r>
      <w:r>
        <w:rPr>
          <w:rFonts w:cs="Arial" w:ascii="Arial" w:hAnsi="Arial"/>
          <w:i w:val="false"/>
          <w:iCs w:val="false"/>
          <w:color w:val="00B0F0"/>
          <w:sz w:val="22"/>
          <w:szCs w:val="22"/>
          <w:shd w:fill="auto" w:val="clear"/>
        </w:rPr>
        <w:t xml:space="preserve">: </w:t>
      </w:r>
    </w:p>
    <w:p>
      <w:pPr>
        <w:pStyle w:val="Normal"/>
        <w:numPr>
          <w:ilvl w:val="0"/>
          <w:numId w:val="9"/>
        </w:numPr>
        <w:ind w:firstLine="66"/>
        <w:jc w:val="both"/>
        <w:rPr>
          <w:highlight w:val="none"/>
          <w:shd w:fill="auto" w:val="clear"/>
        </w:rPr>
      </w:pPr>
      <w:r>
        <w:rPr>
          <w:rFonts w:cs="Arial" w:ascii="Arial" w:hAnsi="Arial"/>
          <w:i w:val="false"/>
          <w:iCs w:val="false"/>
          <w:sz w:val="22"/>
          <w:szCs w:val="22"/>
          <w:shd w:fill="auto" w:val="clear"/>
        </w:rPr>
        <w:t xml:space="preserve">typizované popelnice (sběrné nádoby) o objemech 110 l, 120 l, 240 l a 1100 l </w:t>
      </w:r>
    </w:p>
    <w:p>
      <w:pPr>
        <w:pStyle w:val="Normal"/>
        <w:numPr>
          <w:ilvl w:val="0"/>
          <w:numId w:val="9"/>
        </w:numPr>
        <w:ind w:firstLine="66"/>
        <w:jc w:val="both"/>
        <w:rPr>
          <w:highlight w:val="none"/>
          <w:shd w:fill="auto" w:val="clear"/>
        </w:rPr>
      </w:pPr>
      <w:r>
        <w:rPr>
          <w:rFonts w:cs="Arial" w:ascii="Arial" w:hAnsi="Arial"/>
          <w:i w:val="false"/>
          <w:iCs w:val="false"/>
          <w:sz w:val="22"/>
          <w:szCs w:val="22"/>
          <w:shd w:fill="auto" w:val="clear"/>
        </w:rPr>
        <w:t xml:space="preserve">kontejnery </w:t>
      </w:r>
    </w:p>
    <w:p>
      <w:pPr>
        <w:pStyle w:val="Normal"/>
        <w:numPr>
          <w:ilvl w:val="0"/>
          <w:numId w:val="9"/>
        </w:numPr>
        <w:ind w:firstLine="66"/>
        <w:jc w:val="both"/>
        <w:rPr>
          <w:highlight w:val="none"/>
          <w:shd w:fill="auto" w:val="clear"/>
        </w:rPr>
      </w:pPr>
      <w:r>
        <w:rPr>
          <w:rFonts w:cs="Arial" w:ascii="Arial" w:hAnsi="Arial"/>
          <w:i w:val="false"/>
          <w:iCs w:val="false"/>
          <w:sz w:val="22"/>
          <w:szCs w:val="22"/>
          <w:shd w:fill="auto" w:val="clear"/>
        </w:rPr>
        <w:t>odpadkové koše, které jsou umístěny na veřejných prostranstvích v obci, sloužící pro odkládání drobného směsného komunálního odpadu.</w:t>
      </w:r>
    </w:p>
    <w:p>
      <w:pPr>
        <w:pStyle w:val="Normal"/>
        <w:numPr>
          <w:ilvl w:val="0"/>
          <w:numId w:val="9"/>
        </w:numPr>
        <w:ind w:hanging="426" w:left="426"/>
        <w:jc w:val="both"/>
        <w:rPr>
          <w:highlight w:val="none"/>
          <w:shd w:fill="auto" w:val="clear"/>
        </w:rPr>
      </w:pPr>
      <w:r>
        <w:rPr>
          <w:rFonts w:cs="Arial" w:ascii="Arial" w:hAnsi="Arial"/>
          <w:i w:val="false"/>
          <w:iCs w:val="false"/>
          <w:sz w:val="22"/>
          <w:szCs w:val="22"/>
          <w:shd w:fill="auto" w:val="clear"/>
        </w:rPr>
        <w:t xml:space="preserve">Soustřeďování směsného komunálního odpadu podléhá požadavkům stanoveným v čl. 3 odst. 4 a 5. Do sběrných nádob na směsný komunální dopad nesmí být odkládány složky komunálního odpadu uvedené v čl. 3 odst. 1 této obecně závazné vyhlášky. </w:t>
      </w:r>
    </w:p>
    <w:p>
      <w:pPr>
        <w:pStyle w:val="Normal"/>
        <w:numPr>
          <w:ilvl w:val="0"/>
          <w:numId w:val="9"/>
        </w:numPr>
        <w:ind w:hanging="426" w:left="426"/>
        <w:jc w:val="both"/>
        <w:rPr>
          <w:highlight w:val="none"/>
          <w:shd w:fill="auto" w:val="clear"/>
        </w:rPr>
      </w:pPr>
      <w:r>
        <w:rPr>
          <w:rFonts w:cs="Arial" w:ascii="Arial" w:hAnsi="Arial"/>
          <w:i w:val="false"/>
          <w:iCs w:val="false"/>
          <w:sz w:val="22"/>
          <w:szCs w:val="22"/>
          <w:shd w:fill="auto" w:val="clear"/>
        </w:rPr>
        <w:t xml:space="preserve">Svoz směsného komunálního odpadu bude zajišťován pouze ze sběrných nádob, obsahujících výhradně směsný komunální odpad, umístěných v době svozu (tzn. od 05:00 do 18:00 svozového dne) na veřejně přístupném místě v maximální vzdálenosti do 5 m od příslušné místní nebo účelové komunikace tak, aby k takové nádobě byl zajištěn volný přístup obsluhy sběrného vozu (sběrné nádoby umístěné uvnitř oploceného prostoru nebo uvnitř uzavíratelného prostoru pro svozovou nádobu nebudou předmětem svozu). Předmětem svozu bude vždy směsný komunální odpad nejvýše z jedné sběrné nádoby na směsný komunální odpad o objemu max. 240 l pro každou budovu s přiděleným číslem popisným, která slouží k bydlení nebo k rekreaci. To se netýká bytových domů, u kterých bude zajišťován svoz směsného komunálního odpadu ze sběrných nádob v objemu, který odpovídá v litrech nejvýše počtu bytových jednotek daného bytového domu a násobku čísla 240. </w:t>
      </w:r>
    </w:p>
    <w:p>
      <w:pPr>
        <w:pStyle w:val="Normal"/>
        <w:numPr>
          <w:ilvl w:val="0"/>
          <w:numId w:val="9"/>
        </w:numPr>
        <w:ind w:hanging="426" w:left="426"/>
        <w:jc w:val="both"/>
        <w:rPr>
          <w:highlight w:val="none"/>
          <w:shd w:fill="auto" w:val="clear"/>
        </w:rPr>
      </w:pPr>
      <w:r>
        <w:rPr>
          <w:rFonts w:cs="Arial" w:ascii="Arial" w:hAnsi="Arial"/>
          <w:i w:val="false"/>
          <w:iCs w:val="false"/>
          <w:sz w:val="22"/>
          <w:szCs w:val="22"/>
          <w:shd w:fill="auto" w:val="clear"/>
        </w:rPr>
        <w:t>Domácnosti, které vyprodukují směsný komunální odpad nad rámec objemu, který je předmětem svozu dle odstavce 3), nebo které nemají sběrné nádoby na směsný komunální odpad, jež by dle odstavce 3) mohly být předmětem svozu, případně domácnosti, které vyprodukují směsný komunální odpad v množství, které nádoby, jež jsou předmětem svozu dle odstavce 3), již nepojmou, budou takový směsný komunální odpad odkládat ve sběrných nádobách umístěných ve sběrném místě (areál ČOV – Strážný parc. č. 590/5 v k.ú. Strážný).“</w:t>
      </w:r>
    </w:p>
    <w:p>
      <w:pPr>
        <w:pStyle w:val="ListParagraph"/>
        <w:numPr>
          <w:ilvl w:val="0"/>
          <w:numId w:val="0"/>
        </w:numPr>
        <w:suppressAutoHyphens w:val="true"/>
        <w:spacing w:lineRule="auto" w:line="288"/>
        <w:ind w:hanging="0" w:left="567"/>
        <w:jc w:val="both"/>
        <w:rPr>
          <w:rFonts w:ascii="Arial" w:hAnsi="Arial" w:cs="Arial"/>
          <w:i w:val="false"/>
          <w:i w:val="false"/>
          <w:iCs w:val="false"/>
        </w:rPr>
      </w:pPr>
      <w:r>
        <w:rPr>
          <w:rFonts w:cs="Arial" w:ascii="Arial" w:hAnsi="Arial"/>
          <w:i w:val="false"/>
          <w:iCs w:val="false"/>
        </w:rPr>
      </w:r>
    </w:p>
    <w:p>
      <w:pPr>
        <w:pStyle w:val="Default"/>
        <w:ind w:left="360"/>
        <w:jc w:val="both"/>
        <w:rPr>
          <w:color w:val="00B0F0"/>
          <w:sz w:val="22"/>
          <w:szCs w:val="22"/>
        </w:rPr>
      </w:pPr>
      <w:r>
        <w:rPr>
          <w:color w:val="00B0F0"/>
          <w:sz w:val="22"/>
          <w:szCs w:val="22"/>
        </w:rPr>
      </w:r>
    </w:p>
    <w:p>
      <w:pPr>
        <w:pStyle w:val="Normal"/>
        <w:jc w:val="center"/>
        <w:rPr>
          <w:rFonts w:ascii="Arial" w:hAnsi="Arial" w:cs="Arial"/>
          <w:b/>
          <w:sz w:val="22"/>
          <w:szCs w:val="22"/>
        </w:rPr>
      </w:pPr>
      <w:r>
        <w:rPr>
          <w:rFonts w:cs="Arial" w:ascii="Arial" w:hAnsi="Arial"/>
          <w:b/>
          <w:sz w:val="22"/>
          <w:szCs w:val="22"/>
        </w:rPr>
        <w:t>Čl. 7</w:t>
      </w:r>
    </w:p>
    <w:p>
      <w:pPr>
        <w:pStyle w:val="Normal"/>
        <w:jc w:val="center"/>
        <w:rPr>
          <w:rFonts w:ascii="Arial" w:hAnsi="Arial" w:cs="Arial"/>
          <w:b/>
          <w:sz w:val="22"/>
          <w:szCs w:val="22"/>
        </w:rPr>
      </w:pPr>
      <w:r>
        <w:rPr>
          <w:rFonts w:cs="Arial" w:ascii="Arial" w:hAnsi="Arial"/>
          <w:b/>
          <w:bCs/>
          <w:sz w:val="22"/>
          <w:szCs w:val="22"/>
          <w:u w:val="none"/>
        </w:rPr>
        <w:t>Nakládání s komunálním odpadem vznikajícím na území obce při činnosti právnických a podnikajících fyzických osob</w:t>
      </w:r>
    </w:p>
    <w:p>
      <w:pPr>
        <w:pStyle w:val="Normal"/>
        <w:jc w:val="center"/>
        <w:rPr>
          <w:rFonts w:ascii="Arial" w:hAnsi="Arial" w:cs="Arial"/>
          <w:b/>
          <w:sz w:val="22"/>
          <w:szCs w:val="22"/>
        </w:rPr>
      </w:pPr>
      <w:r>
        <w:rPr>
          <w:rFonts w:cs="Arial" w:ascii="Arial" w:hAnsi="Arial"/>
          <w:b/>
          <w:sz w:val="22"/>
          <w:szCs w:val="22"/>
        </w:rPr>
      </w:r>
    </w:p>
    <w:p>
      <w:pPr>
        <w:pStyle w:val="Normal"/>
        <w:numPr>
          <w:ilvl w:val="0"/>
          <w:numId w:val="8"/>
        </w:numPr>
        <w:ind w:hanging="284" w:left="284"/>
        <w:jc w:val="both"/>
        <w:rPr>
          <w:rFonts w:ascii="Arial" w:hAnsi="Arial" w:cs="Arial"/>
          <w:sz w:val="22"/>
          <w:szCs w:val="22"/>
        </w:rPr>
      </w:pPr>
      <w:r>
        <w:rPr>
          <w:rFonts w:cs="Arial" w:ascii="Arial" w:hAnsi="Arial"/>
          <w:sz w:val="22"/>
          <w:szCs w:val="22"/>
        </w:rPr>
        <w:t>Právnické a podnikající fyzické osoby zapojené do obecního systému na základě smlouvy s městysem ukládají komunální odpad dle čl. 2 odst. 1 písm. b), c), d), e) do sběrných nádob dle druhu odpadu rozmístěných na území městysu. Komunální odpad dle čl. 2 odst.1 písm. j) ukládají do vlastních nádob na odpad (popelnice 110 l, popelnice 240 l, kontejner 1100 l) v souladu s podmínkami uzavřené písemné smlouvy o zapojení do obecního systému.</w:t>
      </w:r>
    </w:p>
    <w:p>
      <w:pPr>
        <w:pStyle w:val="Normal"/>
        <w:ind w:left="284"/>
        <w:jc w:val="both"/>
        <w:rPr>
          <w:rFonts w:ascii="Arial" w:hAnsi="Arial" w:cs="Arial"/>
          <w:sz w:val="22"/>
          <w:szCs w:val="22"/>
        </w:rPr>
      </w:pPr>
      <w:r>
        <w:rPr>
          <w:rFonts w:cs="Arial" w:ascii="Arial" w:hAnsi="Arial"/>
          <w:sz w:val="22"/>
          <w:szCs w:val="22"/>
        </w:rPr>
      </w:r>
    </w:p>
    <w:p>
      <w:pPr>
        <w:pStyle w:val="Normal"/>
        <w:numPr>
          <w:ilvl w:val="0"/>
          <w:numId w:val="8"/>
        </w:numPr>
        <w:ind w:hanging="284" w:left="284"/>
        <w:jc w:val="both"/>
        <w:rPr>
          <w:rFonts w:ascii="Arial" w:hAnsi="Arial" w:cs="Arial"/>
          <w:iCs/>
          <w:sz w:val="22"/>
          <w:szCs w:val="22"/>
        </w:rPr>
      </w:pPr>
      <w:r>
        <w:rPr>
          <w:rFonts w:cs="Arial" w:ascii="Arial" w:hAnsi="Arial"/>
          <w:sz w:val="22"/>
          <w:szCs w:val="22"/>
        </w:rPr>
        <w:t xml:space="preserve">Výši úhrady za zapojení do obecního systému odpadového hospodářství, jakož i způsob jejího výběru, stanoví obec v souladu s ceníkem, který bude po dobu účinnosti této obecně závazné vyhlášky uveřejněn na </w:t>
      </w:r>
      <w:r>
        <w:rPr>
          <w:rFonts w:cs="Arial" w:ascii="Arial" w:hAnsi="Arial"/>
          <w:sz w:val="22"/>
          <w:szCs w:val="22"/>
          <w:shd w:fill="auto" w:val="clear"/>
        </w:rPr>
        <w:t>www.strazny.cz.</w:t>
      </w:r>
      <w:r>
        <w:rPr>
          <w:rFonts w:cs="Arial" w:ascii="Arial" w:hAnsi="Arial"/>
          <w:sz w:val="22"/>
          <w:szCs w:val="22"/>
        </w:rPr>
        <w:t xml:space="preserve"> Ceník bude stanoven na základě aktuálních cen služeb za svoz a likvidaci odpadu poskytovaných svozovou službou, a to</w:t>
      </w:r>
      <w:r>
        <w:rPr>
          <w:rFonts w:cs="Arial" w:ascii="Arial" w:hAnsi="Arial"/>
          <w:i/>
          <w:sz w:val="22"/>
          <w:szCs w:val="22"/>
        </w:rPr>
        <w:t xml:space="preserve"> </w:t>
      </w:r>
      <w:r>
        <w:rPr>
          <w:rFonts w:cs="Arial" w:ascii="Arial" w:hAnsi="Arial"/>
          <w:iCs/>
          <w:sz w:val="22"/>
          <w:szCs w:val="22"/>
        </w:rPr>
        <w:t xml:space="preserve">paušální částkou za kalendářní rok. </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8</w:t>
      </w:r>
    </w:p>
    <w:p>
      <w:pPr>
        <w:pStyle w:val="Heading2"/>
        <w:jc w:val="center"/>
        <w:rPr>
          <w:rFonts w:ascii="Arial" w:hAnsi="Arial" w:cs="Arial"/>
          <w:b/>
          <w:bCs/>
          <w:sz w:val="22"/>
          <w:szCs w:val="22"/>
          <w:u w:val="none"/>
        </w:rPr>
      </w:pPr>
      <w:r>
        <w:rPr>
          <w:rFonts w:cs="Arial" w:ascii="Arial" w:hAnsi="Arial"/>
          <w:b/>
          <w:bCs/>
          <w:sz w:val="22"/>
          <w:szCs w:val="22"/>
          <w:u w:val="none"/>
        </w:rPr>
        <w:t xml:space="preserve">Nakládání s výrobky s ukončenou životností v rámci služby pro výrobce </w:t>
      </w:r>
    </w:p>
    <w:p>
      <w:pPr>
        <w:pStyle w:val="Heading2"/>
        <w:jc w:val="center"/>
        <w:rPr>
          <w:rFonts w:ascii="Arial" w:hAnsi="Arial" w:cs="Arial"/>
          <w:b/>
          <w:bCs/>
          <w:sz w:val="22"/>
          <w:szCs w:val="22"/>
          <w:u w:val="none"/>
        </w:rPr>
      </w:pPr>
      <w:r>
        <w:rPr>
          <w:rFonts w:cs="Arial" w:ascii="Arial" w:hAnsi="Arial"/>
          <w:b/>
          <w:bCs/>
          <w:sz w:val="22"/>
          <w:szCs w:val="22"/>
          <w:u w:val="none"/>
        </w:rPr>
        <w:t>(zpětný odběr)</w:t>
      </w:r>
    </w:p>
    <w:p>
      <w:pPr>
        <w:pStyle w:val="Heading2"/>
        <w:rPr>
          <w:rFonts w:ascii="Arial" w:hAnsi="Arial" w:cs="Arial"/>
          <w:b/>
          <w:bCs/>
          <w:sz w:val="22"/>
          <w:szCs w:val="22"/>
          <w:u w:val="none"/>
        </w:rPr>
      </w:pPr>
      <w:r>
        <w:rPr>
          <w:rFonts w:cs="Arial" w:ascii="Arial" w:hAnsi="Arial"/>
          <w:b/>
          <w:bCs/>
          <w:sz w:val="22"/>
          <w:szCs w:val="22"/>
          <w:u w:val="none"/>
        </w:rPr>
      </w:r>
    </w:p>
    <w:p>
      <w:pPr>
        <w:pStyle w:val="Normal"/>
        <w:numPr>
          <w:ilvl w:val="0"/>
          <w:numId w:val="10"/>
        </w:numPr>
        <w:ind w:hanging="426" w:left="426"/>
        <w:jc w:val="both"/>
        <w:rPr>
          <w:rFonts w:ascii="Arial" w:hAnsi="Arial" w:cs="Arial"/>
          <w:sz w:val="22"/>
          <w:szCs w:val="22"/>
        </w:rPr>
      </w:pPr>
      <w:r>
        <w:rPr>
          <w:rFonts w:cs="Arial" w:ascii="Arial" w:hAnsi="Arial"/>
          <w:sz w:val="22"/>
          <w:szCs w:val="22"/>
        </w:rPr>
        <w:t xml:space="preserve">Obec v rámci služby pro výrobce nakládá s těmito výrobky s ukončenou životností: </w:t>
      </w:r>
    </w:p>
    <w:p>
      <w:pPr>
        <w:pStyle w:val="Normal"/>
        <w:ind w:left="720"/>
        <w:jc w:val="both"/>
        <w:rPr>
          <w:rFonts w:ascii="Arial" w:hAnsi="Arial" w:cs="Arial"/>
          <w:sz w:val="22"/>
          <w:szCs w:val="22"/>
        </w:rPr>
      </w:pPr>
      <w:r>
        <w:rPr>
          <w:rFonts w:cs="Arial" w:ascii="Arial" w:hAnsi="Arial"/>
          <w:sz w:val="22"/>
          <w:szCs w:val="22"/>
        </w:rPr>
      </w:r>
    </w:p>
    <w:p>
      <w:pPr>
        <w:pStyle w:val="Normal"/>
        <w:ind w:left="720"/>
        <w:jc w:val="both"/>
        <w:rPr>
          <w:rFonts w:ascii="Arial" w:hAnsi="Arial" w:cs="Arial"/>
          <w:sz w:val="22"/>
          <w:szCs w:val="22"/>
        </w:rPr>
      </w:pPr>
      <w:r>
        <w:rPr>
          <w:rFonts w:cs="Arial" w:ascii="Arial" w:hAnsi="Arial"/>
          <w:sz w:val="22"/>
          <w:szCs w:val="22"/>
        </w:rPr>
        <w:t>a) elektrozařízení</w:t>
      </w:r>
    </w:p>
    <w:p>
      <w:pPr>
        <w:pStyle w:val="Normal"/>
        <w:ind w:left="720"/>
        <w:jc w:val="both"/>
        <w:rPr>
          <w:rFonts w:ascii="Arial" w:hAnsi="Arial" w:cs="Arial"/>
          <w:sz w:val="22"/>
          <w:szCs w:val="22"/>
        </w:rPr>
      </w:pPr>
      <w:r>
        <w:rPr>
          <w:rFonts w:cs="Arial" w:ascii="Arial" w:hAnsi="Arial"/>
          <w:sz w:val="22"/>
          <w:szCs w:val="22"/>
        </w:rPr>
        <w:t>b) baterie a akumulátory</w:t>
      </w:r>
    </w:p>
    <w:p>
      <w:pPr>
        <w:pStyle w:val="Normal"/>
        <w:tabs>
          <w:tab w:val="clear" w:pos="708"/>
          <w:tab w:val="left" w:pos="567" w:leader="none"/>
        </w:tabs>
        <w:ind w:hanging="282" w:left="567"/>
        <w:jc w:val="both"/>
        <w:rPr>
          <w:rFonts w:ascii="Arial" w:hAnsi="Arial" w:cs="Arial"/>
          <w:i/>
          <w:i/>
          <w:color w:val="00B0F0"/>
          <w:sz w:val="22"/>
          <w:szCs w:val="22"/>
        </w:rPr>
      </w:pPr>
      <w:r>
        <w:rPr>
          <w:rFonts w:cs="Arial" w:ascii="Arial" w:hAnsi="Arial"/>
          <w:i/>
          <w:color w:val="00B0F0"/>
          <w:sz w:val="22"/>
          <w:szCs w:val="22"/>
        </w:rPr>
        <w:t xml:space="preserve"> </w:t>
      </w:r>
    </w:p>
    <w:p>
      <w:pPr>
        <w:pStyle w:val="Normal"/>
        <w:numPr>
          <w:ilvl w:val="0"/>
          <w:numId w:val="10"/>
        </w:numPr>
        <w:ind w:hanging="426" w:left="426"/>
        <w:jc w:val="both"/>
        <w:rPr>
          <w:rFonts w:ascii="Arial" w:hAnsi="Arial" w:cs="Arial"/>
          <w:iCs/>
          <w:sz w:val="22"/>
          <w:szCs w:val="22"/>
        </w:rPr>
      </w:pPr>
      <w:r>
        <w:rPr>
          <w:rFonts w:cs="Arial" w:ascii="Arial" w:hAnsi="Arial"/>
          <w:sz w:val="22"/>
          <w:szCs w:val="22"/>
        </w:rPr>
        <w:t>Výrobky s ukončenou životností uvedené v odst. 1 lze předávat</w:t>
      </w:r>
      <w:r>
        <w:rPr>
          <w:rFonts w:cs="Arial" w:ascii="Arial" w:hAnsi="Arial"/>
          <w:iCs/>
          <w:sz w:val="22"/>
          <w:szCs w:val="22"/>
        </w:rPr>
        <w:t xml:space="preserve"> na sběrném místě Strážný (areál ČOV – Strážný parc.č. 590/5).</w:t>
      </w:r>
    </w:p>
    <w:p>
      <w:pPr>
        <w:pStyle w:val="Normal"/>
        <w:tabs>
          <w:tab w:val="clear" w:pos="708"/>
          <w:tab w:val="left" w:pos="709" w:leader="none"/>
        </w:tabs>
        <w:ind w:left="360"/>
        <w:jc w:val="both"/>
        <w:rPr>
          <w:rFonts w:ascii="Arial" w:hAnsi="Arial" w:cs="Arial"/>
          <w:sz w:val="22"/>
          <w:szCs w:val="22"/>
        </w:rPr>
      </w:pPr>
      <w:r>
        <w:rPr>
          <w:rFonts w:cs="Arial" w:ascii="Arial" w:hAnsi="Arial"/>
          <w:sz w:val="22"/>
          <w:szCs w:val="22"/>
        </w:rPr>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Čl. 9</w:t>
      </w:r>
    </w:p>
    <w:p>
      <w:pPr>
        <w:pStyle w:val="Normal"/>
        <w:jc w:val="center"/>
        <w:rPr>
          <w:rFonts w:ascii="Arial" w:hAnsi="Arial" w:cs="Arial"/>
          <w:b/>
          <w:sz w:val="22"/>
          <w:szCs w:val="22"/>
        </w:rPr>
      </w:pPr>
      <w:r>
        <w:rPr>
          <w:rFonts w:cs="Arial" w:ascii="Arial" w:hAnsi="Arial"/>
          <w:b/>
          <w:sz w:val="22"/>
          <w:szCs w:val="22"/>
        </w:rPr>
        <w:t>Zrušovací ustanovení</w:t>
      </w:r>
    </w:p>
    <w:p>
      <w:pPr>
        <w:pStyle w:val="Normal"/>
        <w:ind w:left="360"/>
        <w:jc w:val="center"/>
        <w:rPr>
          <w:rFonts w:ascii="Arial" w:hAnsi="Arial" w:cs="Arial"/>
          <w:b/>
          <w:sz w:val="22"/>
          <w:szCs w:val="22"/>
          <w:u w:val="single"/>
        </w:rPr>
      </w:pPr>
      <w:r>
        <w:rPr>
          <w:rFonts w:cs="Arial" w:ascii="Arial" w:hAnsi="Arial"/>
          <w:b/>
          <w:sz w:val="22"/>
          <w:szCs w:val="22"/>
          <w:u w:val="single"/>
        </w:rPr>
      </w:r>
    </w:p>
    <w:p>
      <w:pPr>
        <w:pStyle w:val="Normal"/>
        <w:spacing w:lineRule="auto" w:line="288" w:before="120" w:after="0"/>
        <w:jc w:val="both"/>
        <w:rPr>
          <w:rFonts w:ascii="Arial" w:hAnsi="Arial" w:cs="Arial"/>
        </w:rPr>
      </w:pPr>
      <w:bookmarkStart w:id="1" w:name="_Hlk54595723"/>
      <w:r>
        <w:rPr>
          <w:rFonts w:cs="Arial" w:ascii="Arial" w:hAnsi="Arial"/>
          <w:sz w:val="22"/>
          <w:szCs w:val="22"/>
        </w:rPr>
        <w:t xml:space="preserve">Zrušuje se obecně závazná vyhláška </w:t>
      </w:r>
      <w:bookmarkEnd w:id="1"/>
      <w:r>
        <w:rPr>
          <w:rFonts w:cs="Arial" w:ascii="Arial" w:hAnsi="Arial"/>
          <w:sz w:val="22"/>
          <w:szCs w:val="22"/>
        </w:rPr>
        <w:t>č. 1/2022 o stanovení obecního systému odpadového hospodářství ze dne 20.12.2022 a obecně závazná vyhláška č. 1/2024 ze dne 11.3.2024.</w:t>
      </w:r>
    </w:p>
    <w:p>
      <w:pPr>
        <w:pStyle w:val="Normal"/>
        <w:spacing w:lineRule="auto" w:line="288" w:before="120" w:after="0"/>
        <w:jc w:val="both"/>
        <w:rPr>
          <w:rFonts w:ascii="Arial" w:hAnsi="Arial" w:cs="Arial"/>
        </w:rPr>
      </w:pPr>
      <w:r>
        <w:rPr>
          <w:rFonts w:cs="Arial" w:ascii="Arial" w:hAnsi="Arial"/>
          <w:i/>
          <w:sz w:val="22"/>
          <w:szCs w:val="22"/>
        </w:rPr>
        <w:t xml:space="preserve"> </w:t>
      </w:r>
    </w:p>
    <w:p>
      <w:pPr>
        <w:pStyle w:val="Normal"/>
        <w:jc w:val="center"/>
        <w:rPr>
          <w:rFonts w:ascii="Arial" w:hAnsi="Arial" w:cs="Arial"/>
          <w:b/>
          <w:sz w:val="22"/>
          <w:szCs w:val="22"/>
        </w:rPr>
      </w:pPr>
      <w:r>
        <w:rPr>
          <w:rFonts w:cs="Arial" w:ascii="Arial" w:hAnsi="Arial"/>
          <w:b/>
          <w:sz w:val="22"/>
          <w:szCs w:val="22"/>
        </w:rPr>
        <w:t>Čl. 10</w:t>
      </w:r>
    </w:p>
    <w:p>
      <w:pPr>
        <w:pStyle w:val="Nzvylnk"/>
        <w:spacing w:before="0" w:after="0"/>
        <w:rPr>
          <w:rFonts w:ascii="Arial" w:hAnsi="Arial" w:cs="Arial"/>
          <w:sz w:val="22"/>
          <w:szCs w:val="22"/>
        </w:rPr>
      </w:pPr>
      <w:r>
        <w:rPr>
          <w:rFonts w:cs="Arial" w:ascii="Arial" w:hAnsi="Arial"/>
          <w:sz w:val="22"/>
          <w:szCs w:val="22"/>
        </w:rPr>
        <w:t>Účinnost</w:t>
      </w:r>
    </w:p>
    <w:p>
      <w:pPr>
        <w:pStyle w:val="Normal"/>
        <w:jc w:val="center"/>
        <w:rPr>
          <w:rFonts w:ascii="Arial" w:hAnsi="Arial" w:cs="Arial"/>
          <w:b/>
          <w:sz w:val="22"/>
          <w:szCs w:val="22"/>
        </w:rPr>
      </w:pPr>
      <w:r>
        <w:rPr>
          <w:rFonts w:cs="Arial" w:ascii="Arial" w:hAnsi="Arial"/>
          <w:b/>
          <w:sz w:val="22"/>
          <w:szCs w:val="22"/>
        </w:rPr>
      </w:r>
    </w:p>
    <w:p>
      <w:pPr>
        <w:pStyle w:val="Nzvylnk"/>
        <w:spacing w:before="0" w:after="0"/>
        <w:jc w:val="left"/>
        <w:rPr>
          <w:rFonts w:ascii="Arial" w:hAnsi="Arial" w:cs="Arial"/>
          <w:color w:val="0070C0"/>
          <w:sz w:val="22"/>
          <w:szCs w:val="22"/>
        </w:rPr>
      </w:pPr>
      <w:r>
        <w:rPr>
          <w:rFonts w:cs="Arial" w:ascii="Arial" w:hAnsi="Arial"/>
          <w:color w:val="0070C0"/>
          <w:sz w:val="22"/>
          <w:szCs w:val="22"/>
        </w:rPr>
      </w:r>
    </w:p>
    <w:p>
      <w:pPr>
        <w:pStyle w:val="Normal"/>
        <w:spacing w:lineRule="auto" w:line="288" w:before="120" w:after="0"/>
        <w:jc w:val="both"/>
        <w:rPr>
          <w:rFonts w:ascii="Arial" w:hAnsi="Arial" w:cs="Arial"/>
          <w:sz w:val="22"/>
          <w:szCs w:val="22"/>
        </w:rPr>
      </w:pPr>
      <w:r>
        <w:rPr>
          <w:rFonts w:cs="Arial" w:ascii="Arial" w:hAnsi="Arial"/>
          <w:sz w:val="22"/>
          <w:szCs w:val="22"/>
        </w:rPr>
        <w:t>Tato vyhláška nabývá účinnosti počátkem patnáctého dne následujícího po dni jejího vyhlášení.</w:t>
      </w:r>
    </w:p>
    <w:p>
      <w:pPr>
        <w:pStyle w:val="Normal"/>
        <w:spacing w:lineRule="auto" w:line="288" w:before="120" w:after="0"/>
        <w:ind w:firstLine="709"/>
        <w:jc w:val="both"/>
        <w:rPr>
          <w:rFonts w:ascii="Arial" w:hAnsi="Arial" w:cs="Arial"/>
          <w:sz w:val="22"/>
          <w:szCs w:val="22"/>
        </w:rPr>
      </w:pPr>
      <w:r>
        <w:rPr>
          <w:rFonts w:cs="Arial" w:ascii="Arial" w:hAnsi="Arial"/>
          <w:sz w:val="22"/>
          <w:szCs w:val="22"/>
        </w:rPr>
      </w:r>
    </w:p>
    <w:p>
      <w:pPr>
        <w:pStyle w:val="Normal"/>
        <w:spacing w:lineRule="auto" w:line="288" w:before="120" w:after="0"/>
        <w:ind w:firstLine="709"/>
        <w:jc w:val="both"/>
        <w:rPr>
          <w:rFonts w:ascii="Arial" w:hAnsi="Arial" w:cs="Arial"/>
          <w:sz w:val="22"/>
          <w:szCs w:val="22"/>
        </w:rPr>
      </w:pPr>
      <w:r>
        <w:rPr>
          <w:rFonts w:cs="Arial" w:ascii="Arial" w:hAnsi="Arial"/>
          <w:sz w:val="22"/>
          <w:szCs w:val="22"/>
        </w:rPr>
      </w:r>
    </w:p>
    <w:p>
      <w:pPr>
        <w:pStyle w:val="Normal"/>
        <w:spacing w:lineRule="auto" w:line="288" w:before="120" w:after="0"/>
        <w:ind w:firstLine="709"/>
        <w:jc w:val="both"/>
        <w:rPr>
          <w:rFonts w:ascii="Arial" w:hAnsi="Arial" w:cs="Arial"/>
          <w:sz w:val="22"/>
          <w:szCs w:val="22"/>
        </w:rPr>
      </w:pPr>
      <w:r>
        <w:rPr>
          <w:rFonts w:cs="Arial" w:ascii="Arial" w:hAnsi="Arial"/>
          <w:sz w:val="22"/>
          <w:szCs w:val="22"/>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Normal"/>
        <w:ind w:firstLine="708"/>
        <w:rPr>
          <w:rFonts w:ascii="Arial" w:hAnsi="Arial" w:cs="Arial"/>
          <w:bCs/>
          <w:iCs/>
          <w:sz w:val="22"/>
          <w:szCs w:val="22"/>
        </w:rPr>
      </w:pPr>
      <w:r>
        <w:rPr>
          <w:rFonts w:cs="Arial" w:ascii="Arial" w:hAnsi="Arial"/>
          <w:bCs/>
          <w:iCs/>
          <w:sz w:val="22"/>
          <w:szCs w:val="22"/>
        </w:rPr>
        <w:t>Mgr. Jiřina Kraliková</w:t>
      </w:r>
      <w:r>
        <w:rPr>
          <w:rFonts w:cs="Arial" w:ascii="Arial" w:hAnsi="Arial"/>
          <w:bCs/>
          <w:iCs/>
          <w:sz w:val="22"/>
          <w:szCs w:val="22"/>
        </w:rPr>
        <w:t>, v.r.</w:t>
      </w:r>
      <w:r>
        <w:rPr>
          <w:rFonts w:cs="Arial" w:ascii="Arial" w:hAnsi="Arial"/>
          <w:bCs/>
          <w:iCs/>
          <w:sz w:val="22"/>
          <w:szCs w:val="22"/>
        </w:rPr>
        <w:t xml:space="preserve">                                          Ing. Ondřej Zagatta, </w:t>
      </w:r>
      <w:r>
        <w:rPr>
          <w:rFonts w:cs="Arial" w:ascii="Arial" w:hAnsi="Arial"/>
          <w:bCs/>
          <w:iCs/>
          <w:sz w:val="22"/>
          <w:szCs w:val="22"/>
        </w:rPr>
        <w:t>v.r.</w:t>
      </w:r>
    </w:p>
    <w:p>
      <w:pPr>
        <w:pStyle w:val="Normal"/>
        <w:ind w:firstLine="708"/>
        <w:rPr>
          <w:rFonts w:ascii="Arial" w:hAnsi="Arial" w:cs="Arial"/>
          <w:bCs/>
          <w:iCs/>
          <w:sz w:val="22"/>
          <w:szCs w:val="22"/>
        </w:rPr>
      </w:pPr>
      <w:r>
        <w:rPr>
          <w:rFonts w:cs="Arial" w:ascii="Arial" w:hAnsi="Arial"/>
          <w:bCs/>
          <w:iCs/>
          <w:sz w:val="22"/>
          <w:szCs w:val="22"/>
        </w:rPr>
        <w:t>starostka                                                                   místostarosta</w:t>
      </w:r>
    </w:p>
    <w:p>
      <w:pPr>
        <w:pStyle w:val="Normal"/>
        <w:ind w:firstLine="708"/>
        <w:rPr>
          <w:rFonts w:ascii="Arial" w:hAnsi="Arial" w:cs="Arial"/>
          <w:bCs/>
          <w:i/>
          <w:i/>
          <w:sz w:val="22"/>
          <w:szCs w:val="22"/>
        </w:rPr>
      </w:pPr>
      <w:r>
        <w:rPr>
          <w:rFonts w:cs="Arial" w:ascii="Arial" w:hAnsi="Arial"/>
          <w:bCs/>
          <w:i/>
          <w:sz w:val="22"/>
          <w:szCs w:val="22"/>
        </w:rPr>
      </w:r>
    </w:p>
    <w:p>
      <w:pPr>
        <w:pStyle w:val="Normal"/>
        <w:ind w:firstLine="708"/>
        <w:rPr>
          <w:rFonts w:ascii="Arial" w:hAnsi="Arial" w:cs="Arial"/>
          <w:bCs/>
          <w:i/>
          <w:i/>
          <w:sz w:val="22"/>
          <w:szCs w:val="22"/>
        </w:rPr>
      </w:pPr>
      <w:r>
        <w:rPr>
          <w:rFonts w:cs="Arial" w:ascii="Arial" w:hAnsi="Arial"/>
          <w:bCs/>
          <w:i/>
          <w:sz w:val="22"/>
          <w:szCs w:val="22"/>
        </w:rPr>
        <w:tab/>
        <w:tab/>
        <w:tab/>
        <w:tab/>
        <w:tab/>
        <w:tab/>
        <w:tab/>
      </w:r>
    </w:p>
    <w:p>
      <w:pPr>
        <w:pStyle w:val="Normal"/>
        <w:ind w:left="708"/>
        <w:rPr>
          <w:rFonts w:ascii="Arial" w:hAnsi="Arial" w:cs="Arial"/>
          <w:bCs/>
          <w:sz w:val="22"/>
          <w:szCs w:val="22"/>
        </w:rPr>
      </w:pPr>
      <w:r>
        <w:rPr>
          <w:rFonts w:cs="Arial" w:ascii="Arial" w:hAnsi="Arial"/>
          <w:bCs/>
          <w:sz w:val="22"/>
          <w:szCs w:val="22"/>
        </w:rPr>
        <w:t>………………</w:t>
      </w:r>
      <w:r>
        <w:rPr>
          <w:rFonts w:cs="Arial" w:ascii="Arial" w:hAnsi="Arial"/>
          <w:bCs/>
          <w:sz w:val="22"/>
          <w:szCs w:val="22"/>
        </w:rPr>
        <w:t>...……………….</w:t>
        <w:tab/>
        <w:t xml:space="preserve">                         …………………………………..</w:t>
      </w:r>
    </w:p>
    <w:p>
      <w:pPr>
        <w:pStyle w:val="Normal"/>
        <w:ind w:firstLine="708"/>
        <w:rPr>
          <w:rFonts w:ascii="Arial" w:hAnsi="Arial" w:cs="Arial"/>
          <w:bCs/>
          <w:sz w:val="22"/>
          <w:szCs w:val="22"/>
        </w:rPr>
      </w:pPr>
      <w:r>
        <w:rPr>
          <w:rFonts w:cs="Arial" w:ascii="Arial" w:hAnsi="Arial"/>
          <w:bCs/>
          <w:sz w:val="22"/>
          <w:szCs w:val="22"/>
        </w:rPr>
        <w:tab/>
        <w:tab/>
        <w:tab/>
        <w:tab/>
        <w:tab/>
        <w:tab/>
        <w:tab/>
      </w:r>
    </w:p>
    <w:p>
      <w:pPr>
        <w:pStyle w:val="Normal"/>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0070C0"/>
          <w:sz w:val="20"/>
          <w:szCs w:val="20"/>
        </w:rPr>
      </w:pPr>
      <w:r>
        <w:rPr>
          <w:rFonts w:cs="Arial" w:ascii="Arial" w:hAnsi="Arial"/>
          <w:i/>
          <w:color w:val="0070C0"/>
          <w:sz w:val="20"/>
          <w:szCs w:val="20"/>
        </w:rPr>
      </w:r>
    </w:p>
    <w:p>
      <w:pPr>
        <w:pStyle w:val="BodyText"/>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sectPr>
      <w:footerReference w:type="even" r:id="rId3"/>
      <w:footerReference w:type="default" r:id="rId4"/>
      <w:footerReference w:type="first" r:id="rId5"/>
      <w:footnotePr>
        <w:numFmt w:val="decimal"/>
      </w:footnotePr>
      <w:type w:val="nextPage"/>
      <w:pgSz w:w="11906" w:h="16838"/>
      <w:pgMar w:left="1418" w:right="1418" w:gutter="0" w:header="0" w:top="1020" w:footer="567" w:bottom="184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cs="Arial"/>
        </w:rPr>
      </w:pPr>
      <w:r>
        <w:rPr>
          <w:rStyle w:val="Znakypropoznmkupodarou"/>
        </w:rPr>
        <w:footnoteRef/>
      </w:r>
      <w:r>
        <w:rPr>
          <w:rFonts w:cs="Arial" w:ascii="Arial" w:hAnsi="Arial"/>
        </w:rPr>
        <w:t xml:space="preserve"> </w:t>
      </w:r>
      <w:r>
        <w:rPr>
          <w:rFonts w:cs="Arial" w:ascii="Arial" w:hAnsi="Arial"/>
        </w:rPr>
        <w:t>§ 61 zákona o odpadech</w:t>
      </w:r>
    </w:p>
  </w:footnote>
  <w:footnote w:id="3">
    <w:p>
      <w:pPr>
        <w:pStyle w:val="FootnoteText"/>
        <w:rPr/>
      </w:pPr>
      <w:r>
        <w:rPr>
          <w:rStyle w:val="Znakypropoznmkupodarou"/>
        </w:rPr>
        <w:footnoteRef/>
      </w:r>
      <w:r>
        <w:rPr>
          <w:rFonts w:cs="Arial" w:ascii="Arial" w:hAnsi="Arial"/>
        </w:rPr>
        <w:t xml:space="preserve"> </w:t>
      </w:r>
      <w:r>
        <w:rPr>
          <w:rFonts w:cs="Arial" w:ascii="Arial" w:hAnsi="Arial"/>
        </w:rPr>
        <w:t>§ 60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u w:val="none"/>
        <w:b w:val="false"/>
        <w:color w:val="auto"/>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lowerLetter"/>
      <w:lvlText w:val="%1)"/>
      <w:lvlJc w:val="left"/>
      <w:pPr>
        <w:tabs>
          <w:tab w:val="num" w:pos="0"/>
        </w:tabs>
        <w:ind w:left="786" w:hanging="360"/>
      </w:pPr>
      <w:rPr>
        <w:rFonts w:eastAsia="Times New Roman"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4">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dstrike w:val="false"/>
        <w:strike w:val="false"/>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5"/>
  <w:embedSystemFonts/>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qFormat/>
    <w:pPr>
      <w:keepNext w:val="true"/>
      <w:jc w:val="both"/>
      <w:outlineLvl w:val="1"/>
    </w:pPr>
    <w:rPr>
      <w:szCs w:val="20"/>
      <w:u w:val="single"/>
    </w:rPr>
  </w:style>
  <w:style w:type="paragraph" w:styleId="Heading3">
    <w:name w:val="Heading 3"/>
    <w:basedOn w:val="Normal"/>
    <w:next w:val="Normal"/>
    <w:link w:val="Nadpis3Char"/>
    <w:uiPriority w:val="9"/>
    <w:semiHidden/>
    <w:unhideWhenUsed/>
    <w:qFormat/>
    <w:rsid w:val="00061946"/>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rPr>
  </w:style>
  <w:style w:type="character" w:styleId="DefaultParagraphFont" w:default="1">
    <w:name w:val="Default Paragraph Font"/>
    <w:uiPriority w:val="1"/>
    <w:semiHidden/>
    <w:unhideWhenUsed/>
    <w:qFormat/>
    <w:rPr/>
  </w:style>
  <w:style w:type="character" w:styleId="Znakypropoznmkupodarou">
    <w:name w:val="Znaky pro poznámku pod čarou"/>
    <w:semiHidden/>
    <w:qFormat/>
    <w:rPr>
      <w:vertAlign w:val="superscript"/>
    </w:rPr>
  </w:style>
  <w:style w:type="character" w:styleId="FootnoteReference">
    <w:name w:val="Footnote Reference"/>
    <w:rPr>
      <w:vertAlign w:val="superscript"/>
    </w:rPr>
  </w:style>
  <w:style w:type="character" w:styleId="Annotationreference">
    <w:name w:val="annotation reference"/>
    <w:semiHidden/>
    <w:qFormat/>
    <w:rPr>
      <w:sz w:val="16"/>
      <w:szCs w:val="16"/>
    </w:rPr>
  </w:style>
  <w:style w:type="character" w:styleId="TextkomenteChar" w:customStyle="1">
    <w:name w:val="Text komentáře Char"/>
    <w:basedOn w:val="DefaultParagraphFont"/>
    <w:link w:val="Annotationtext"/>
    <w:semiHidden/>
    <w:qFormat/>
    <w:rsid w:val="00ad0d21"/>
    <w:rPr/>
  </w:style>
  <w:style w:type="character" w:styleId="PedmtkomenteChar" w:customStyle="1">
    <w:name w:val="Předmět komentáře Char"/>
    <w:link w:val="Annotationsubject"/>
    <w:uiPriority w:val="99"/>
    <w:semiHidden/>
    <w:qFormat/>
    <w:rsid w:val="00ad0d21"/>
    <w:rPr>
      <w:b/>
      <w:bCs/>
    </w:rPr>
  </w:style>
  <w:style w:type="character" w:styleId="ZpatChar" w:customStyle="1">
    <w:name w:val="Zápatí Char"/>
    <w:uiPriority w:val="99"/>
    <w:qFormat/>
    <w:rsid w:val="005e114f"/>
    <w:rPr>
      <w:sz w:val="24"/>
      <w:szCs w:val="24"/>
    </w:rPr>
  </w:style>
  <w:style w:type="character" w:styleId="Nadpis3Char" w:customStyle="1">
    <w:name w:val="Nadpis 3 Char"/>
    <w:basedOn w:val="DefaultParagraphFont"/>
    <w:uiPriority w:val="9"/>
    <w:semiHidden/>
    <w:qFormat/>
    <w:rsid w:val="00061946"/>
    <w:rPr>
      <w:rFonts w:ascii="Calibri Light" w:hAnsi="Calibri Light" w:eastAsia="" w:cs="" w:asciiTheme="majorHAnsi" w:cstheme="majorBidi" w:eastAsiaTheme="majorEastAsia" w:hAnsiTheme="majorHAnsi"/>
      <w:color w:themeColor="accent1" w:themeShade="7f" w:val="1F4D78"/>
      <w:sz w:val="24"/>
      <w:szCs w:val="24"/>
    </w:rPr>
  </w:style>
  <w:style w:type="character" w:styleId="Hyperlink">
    <w:name w:val="Hyperlink"/>
    <w:rPr>
      <w:color w:val="000080"/>
      <w:u w:val="single"/>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odyTextIndent">
    <w:name w:val="Body Text Indent"/>
    <w:basedOn w:val="Normal"/>
    <w:pPr>
      <w:ind w:firstLine="357" w:left="708"/>
      <w:jc w:val="both"/>
    </w:pPr>
    <w:rPr>
      <w:szCs w:val="20"/>
    </w:rPr>
  </w:style>
  <w:style w:type="paragraph" w:styleId="BodyTextIndent2">
    <w:name w:val="Body Text Indent 2"/>
    <w:basedOn w:val="Normal"/>
    <w:qFormat/>
    <w:pPr>
      <w:ind w:firstLine="360" w:left="708"/>
      <w:jc w:val="both"/>
    </w:pPr>
    <w:rPr>
      <w:bCs/>
      <w:szCs w:val="20"/>
    </w:rPr>
  </w:style>
  <w:style w:type="paragraph" w:styleId="Zhlavazpat">
    <w:name w:val="Záhlaví a zápatí"/>
    <w:basedOn w:val="Normal"/>
    <w:qFormat/>
    <w:pPr/>
    <w:rPr/>
  </w:style>
  <w:style w:type="paragraph" w:styleId="Header">
    <w:name w:val="Header"/>
    <w:basedOn w:val="Normal"/>
    <w:pPr>
      <w:tabs>
        <w:tab w:val="clear" w:pos="708"/>
        <w:tab w:val="center" w:pos="4536" w:leader="none"/>
        <w:tab w:val="right" w:pos="9072" w:leader="none"/>
      </w:tabs>
    </w:pPr>
    <w:rPr>
      <w:szCs w:val="20"/>
    </w:rPr>
  </w:style>
  <w:style w:type="paragraph" w:styleId="FootnoteText">
    <w:name w:val="Footnote Text"/>
    <w:basedOn w:val="Normal"/>
    <w:semiHidden/>
    <w:pPr/>
    <w:rPr>
      <w:sz w:val="20"/>
      <w:szCs w:val="20"/>
    </w:rPr>
  </w:style>
  <w:style w:type="paragraph" w:styleId="NormlnIMP" w:customStyle="1">
    <w:name w:val="Normální_IMP"/>
    <w:basedOn w:val="Normal"/>
    <w:qFormat/>
    <w:pPr>
      <w:suppressAutoHyphens w:val="true"/>
      <w:overflowPunct w:val="false"/>
      <w:spacing w:lineRule="auto" w:line="228"/>
      <w:jc w:val="both"/>
      <w:textAlignment w:val="baseline"/>
    </w:pPr>
    <w:rPr>
      <w:szCs w:val="20"/>
    </w:rPr>
  </w:style>
  <w:style w:type="paragraph" w:styleId="Annotationtext">
    <w:name w:val="annotation text"/>
    <w:basedOn w:val="Normal"/>
    <w:link w:val="TextkomenteChar"/>
    <w:semiHidden/>
    <w:qFormat/>
    <w:pPr/>
    <w:rPr>
      <w:sz w:val="20"/>
      <w:szCs w:val="20"/>
    </w:rPr>
  </w:style>
  <w:style w:type="paragraph" w:styleId="BodyTextIndent3">
    <w:name w:val="Body Text Indent 3"/>
    <w:basedOn w:val="Normal"/>
    <w:qFormat/>
    <w:pPr>
      <w:widowControl w:val="false"/>
      <w:tabs>
        <w:tab w:val="clear" w:pos="708"/>
        <w:tab w:val="left" w:pos="540" w:leader="none"/>
      </w:tabs>
      <w:ind w:hanging="540" w:left="540"/>
      <w:jc w:val="both"/>
    </w:pPr>
    <w:rPr>
      <w:bCs/>
    </w:rPr>
  </w:style>
  <w:style w:type="paragraph" w:styleId="BalloonText">
    <w:name w:val="Balloon Text"/>
    <w:basedOn w:val="Normal"/>
    <w:semiHidden/>
    <w:qFormat/>
    <w:pPr/>
    <w:rPr>
      <w:rFonts w:ascii="Tahoma" w:hAnsi="Tahoma" w:cs="Tahoma"/>
      <w:sz w:val="16"/>
      <w:szCs w:val="16"/>
    </w:rPr>
  </w:style>
  <w:style w:type="paragraph" w:styleId="ListParagraph">
    <w:name w:val="List Paragraph"/>
    <w:basedOn w:val="Normal"/>
    <w:uiPriority w:val="99"/>
    <w:qFormat/>
    <w:rsid w:val="009b77cc"/>
    <w:pPr>
      <w:spacing w:lineRule="auto" w:line="276" w:before="0" w:after="200"/>
      <w:ind w:left="720"/>
      <w:contextualSpacing/>
    </w:pPr>
    <w:rPr>
      <w:rFonts w:ascii="Calibri" w:hAnsi="Calibri" w:eastAsia="Calibri"/>
      <w:sz w:val="22"/>
      <w:szCs w:val="22"/>
      <w:lang w:eastAsia="en-US"/>
    </w:rPr>
  </w:style>
  <w:style w:type="paragraph" w:styleId="Annotationsubject">
    <w:name w:val="annotation subject"/>
    <w:basedOn w:val="Annotationtext"/>
    <w:next w:val="Annotationtext"/>
    <w:link w:val="PedmtkomenteChar"/>
    <w:uiPriority w:val="99"/>
    <w:semiHidden/>
    <w:unhideWhenUsed/>
    <w:qFormat/>
    <w:rsid w:val="00ad0d21"/>
    <w:pPr/>
    <w:rPr>
      <w:b/>
      <w:bCs/>
      <w:lang w:val="x-none" w:eastAsia="x-none"/>
    </w:rPr>
  </w:style>
  <w:style w:type="paragraph" w:styleId="Footer">
    <w:name w:val="Footer"/>
    <w:basedOn w:val="Normal"/>
    <w:link w:val="ZpatChar"/>
    <w:uiPriority w:val="99"/>
    <w:unhideWhenUsed/>
    <w:rsid w:val="005e114f"/>
    <w:pPr>
      <w:tabs>
        <w:tab w:val="clear" w:pos="708"/>
        <w:tab w:val="center" w:pos="4536" w:leader="none"/>
        <w:tab w:val="right" w:pos="9072" w:leader="none"/>
      </w:tabs>
    </w:pPr>
    <w:rPr>
      <w:lang w:val="x-none" w:eastAsia="x-none"/>
    </w:rPr>
  </w:style>
  <w:style w:type="paragraph" w:styleId="Default" w:customStyle="1">
    <w:name w:val="Default"/>
    <w:qFormat/>
    <w:rsid w:val="003a0db1"/>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Nzvylnk" w:customStyle="1">
    <w:name w:val="Názvy článků"/>
    <w:basedOn w:val="Normal"/>
    <w:qFormat/>
    <w:rsid w:val="00730253"/>
    <w:pPr>
      <w:keepNext w:val="true"/>
      <w:keepLines/>
      <w:spacing w:before="60" w:after="160"/>
      <w:jc w:val="center"/>
    </w:pPr>
    <w:rPr>
      <w:b/>
      <w:bCs/>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2c16d56-20f0-45c1-8c23-fd99bd07d41c" xsi:nil="true"/>
    <lcf76f155ced4ddcb4097134ff3c332f xmlns="04ef2e24-ca87-4526-a4f8-62a1780992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6" ma:contentTypeDescription="Vytvoří nový dokument" ma:contentTypeScope="" ma:versionID="9d3243fa196e6e44618d23bc06bbc3c3">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1a43f33fcc4128c15ec14da4c91b5102"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b7b7de-46d6-4d16-8edf-0f0b32fa27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153c3b-3ae4-41f4-8550-1f5515da9e3f}" ma:internalName="TaxCatchAll" ma:showField="CatchAllData" ma:web="02c16d56-20f0-45c1-8c23-fd99bd07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customXml/itemProps2.xml><?xml version="1.0" encoding="utf-8"?>
<ds:datastoreItem xmlns:ds="http://schemas.openxmlformats.org/officeDocument/2006/customXml" ds:itemID="{4444F733-F1B4-41D1-9129-6C7C01DE2C26}">
  <ds:schemaRefs>
    <ds:schemaRef ds:uri="http://schemas.microsoft.com/office/2006/metadata/properties"/>
    <ds:schemaRef ds:uri="http://schemas.microsoft.com/office/infopath/2007/PartnerControls"/>
    <ds:schemaRef ds:uri="02c16d56-20f0-45c1-8c23-fd99bd07d41c"/>
    <ds:schemaRef ds:uri="04ef2e24-ca87-4526-a4f8-62a1780992b4"/>
  </ds:schemaRefs>
</ds:datastoreItem>
</file>

<file path=customXml/itemProps3.xml><?xml version="1.0" encoding="utf-8"?>
<ds:datastoreItem xmlns:ds="http://schemas.openxmlformats.org/officeDocument/2006/customXml" ds:itemID="{AFE63C1B-A55A-40C5-BD3A-BA9948CDB95C}">
  <ds:schemaRefs>
    <ds:schemaRef ds:uri="http://schemas.microsoft.com/sharepoint/v3/contenttype/forms"/>
  </ds:schemaRefs>
</ds:datastoreItem>
</file>

<file path=customXml/itemProps4.xml><?xml version="1.0" encoding="utf-8"?>
<ds:datastoreItem xmlns:ds="http://schemas.openxmlformats.org/officeDocument/2006/customXml" ds:itemID="{F5B13410-C40E-4D69-8264-E0683383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LibreOffice/24.2.1.2$Windows_X86_64 LibreOffice_project/db4def46b0453cc22e2d0305797cf981b68ef5ac</Application>
  <AppVersion>15.0000</AppVersion>
  <Pages>4</Pages>
  <Words>1142</Words>
  <Characters>6304</Characters>
  <CharactersWithSpaces>7503</CharactersWithSpaces>
  <Paragraphs>88</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2022-12-20T00:25:00Z</dcterms:created>
  <dc:creator>DA210036</dc:creator>
  <dc:description/>
  <dc:language>cs-CZ</dc:language>
  <cp:lastModifiedBy/>
  <cp:lastPrinted>2025-10-22T10:11:09Z</cp:lastPrinted>
  <dcterms:modified xsi:type="dcterms:W3CDTF">2025-10-22T10:11:36Z</dcterms:modified>
  <cp:revision>9</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ActionId">
    <vt:lpwstr>52693684-d2c1-4cf8-9708-5f538cc4ec08</vt:lpwstr>
  </property>
  <property fmtid="{D5CDD505-2E9C-101B-9397-08002B2CF9AE}" pid="4" name="MSIP_Label_87b074cf-93f3-4b7e-b395-2fc6b6a638d6_ContentBits">
    <vt:lpwstr>0</vt:lpwstr>
  </property>
  <property fmtid="{D5CDD505-2E9C-101B-9397-08002B2CF9AE}" pid="5" name="MSIP_Label_87b074cf-93f3-4b7e-b395-2fc6b6a638d6_Enabled">
    <vt:lpwstr>true</vt:lpwstr>
  </property>
  <property fmtid="{D5CDD505-2E9C-101B-9397-08002B2CF9AE}" pid="6" name="MSIP_Label_87b074cf-93f3-4b7e-b395-2fc6b6a638d6_Method">
    <vt:lpwstr>Standard</vt:lpwstr>
  </property>
  <property fmtid="{D5CDD505-2E9C-101B-9397-08002B2CF9AE}" pid="7" name="MSIP_Label_87b074cf-93f3-4b7e-b395-2fc6b6a638d6_Name">
    <vt:lpwstr>Veřejné</vt:lpwstr>
  </property>
  <property fmtid="{D5CDD505-2E9C-101B-9397-08002B2CF9AE}" pid="8" name="MSIP_Label_87b074cf-93f3-4b7e-b395-2fc6b6a638d6_SetDate">
    <vt:lpwstr>2022-12-20T00:25:14Z</vt:lpwstr>
  </property>
  <property fmtid="{D5CDD505-2E9C-101B-9397-08002B2CF9AE}" pid="9" name="MSIP_Label_87b074cf-93f3-4b7e-b395-2fc6b6a638d6_SiteId">
    <vt:lpwstr>5d9d6a70-7952-4d35-a275-861f5c254277</vt:lpwstr>
  </property>
</Properties>
</file>