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 </w:t>
      </w:r>
    </w:p>
    <w:p>
      <w:pPr>
        <w:pStyle w:val="Zhlav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Vlčice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Vlčice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Vlčice č. 1/2022,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>Zastupitelstvo obce Vlčice se na svém zasedání dne 12.12.2022 usnesením č. 2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/>
      </w:pPr>
      <w:r>
        <w:rPr>
          <w:rFonts w:cs="Arial" w:ascii="Arial" w:hAnsi="Arial"/>
          <w:sz w:val="22"/>
          <w:szCs w:val="22"/>
        </w:rPr>
        <w:t>Obec Vlčice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/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/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/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color w:val="0070C0"/>
          <w:sz w:val="20"/>
          <w:szCs w:val="20"/>
        </w:rPr>
      </w:r>
    </w:p>
    <w:p>
      <w:pPr>
        <w:pStyle w:val="Normal"/>
        <w:numPr>
          <w:ilvl w:val="0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Sazba poplatku činí</w:t>
      </w:r>
      <w:r>
        <w:rPr>
          <w:rFonts w:cs="Arial" w:ascii="Arial" w:hAnsi="Arial"/>
          <w:color w:val="000000"/>
          <w:sz w:val="22"/>
          <w:szCs w:val="22"/>
        </w:rPr>
        <w:t xml:space="preserve"> 720</w:t>
      </w:r>
      <w:r>
        <w:rPr>
          <w:rFonts w:cs="Arial" w:ascii="Arial" w:hAnsi="Arial"/>
          <w:sz w:val="22"/>
          <w:szCs w:val="22"/>
        </w:rPr>
        <w:t xml:space="preserve"> Kč.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Poplatek je pro poplatníky dle čl. 2 odst. 1 písm. b) této vyhlášky splatný jednorázově, a to nejpozději do 28.2. příslušného kalendářního roku.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Poplatek je pro poplatníky dle čl. 2 odst. 1 písm. a) této vyhlášky je splatný ve dvou stejných splátkách, a to nejpozději do 28.2. a do 31.8. příslušného kalendářního roku.</w:t>
      </w:r>
    </w:p>
    <w:p>
      <w:pPr>
        <w:pStyle w:val="Normal"/>
        <w:numPr>
          <w:ilvl w:val="0"/>
          <w:numId w:val="5"/>
        </w:numPr>
        <w:spacing w:lineRule="auto" w:line="264" w:before="63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Vznikne-li poplatková povinnost v období mezi daty uvedenými v odstavci 3, je poplatek splatný jednorázově ve lhůtě splatnosti druhé splátky podle odstavce 3. Vznikne-li poplatková povinnost po uplynutí lhůty splatnosti druhé splátky podle odstavce 3, je poplatek splatný jednorázově do 15. dne měsíce, který následuje po měsíci, ve kterém poplatková povinnost vznikla.            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hanging="0"/>
        <w:jc w:val="both"/>
        <w:rPr/>
      </w:pPr>
      <w:r>
        <w:rPr>
          <w:rFonts w:cs="Arial" w:ascii="Arial" w:hAnsi="Arial"/>
          <w:sz w:val="22"/>
          <w:szCs w:val="22"/>
        </w:rPr>
        <w:t>(5)    Lhůta splatnosti neskončí poplatníkovi dříve než lhůta pro podání ohlášení podle čl. 4</w:t>
      </w:r>
    </w:p>
    <w:p>
      <w:pPr>
        <w:pStyle w:val="Normal"/>
        <w:numPr>
          <w:ilvl w:val="0"/>
          <w:numId w:val="0"/>
        </w:numPr>
        <w:spacing w:lineRule="auto" w:line="264" w:before="6" w:after="0"/>
        <w:ind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 xml:space="preserve">odst. 1 této vyhlášky. </w:t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567" w:hanging="0"/>
        <w:rPr>
          <w:color w:val="00000A"/>
        </w:rPr>
      </w:pPr>
      <w:r>
        <w:rPr>
          <w:sz w:val="22"/>
          <w:szCs w:val="22"/>
        </w:rPr>
        <w:t xml:space="preserve">a)     poplatníkem poplatku za odkládání komunálního odpadu z nemovité věci v jiné obci a má v této jiné obci bydliště, </w:t>
      </w:r>
    </w:p>
    <w:p>
      <w:pPr>
        <w:pStyle w:val="Default"/>
        <w:spacing w:before="0" w:after="0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   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/>
      </w:pPr>
      <w:r>
        <w:rPr>
          <w:color w:val="00000A"/>
          <w:sz w:val="22"/>
          <w:szCs w:val="22"/>
        </w:rPr>
        <w:t>c)    umístěna do zařízení pro děti vyžadující okamžitou pomoc na základě rozhodnutí soudu, na žádost obecního úřadu obce s rozšířenou působností, zákonného zástupce dítěte nebo nezletilého,</w:t>
      </w:r>
    </w:p>
    <w:p>
      <w:pPr>
        <w:pStyle w:val="Default"/>
        <w:spacing w:before="0" w:after="0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Default"/>
        <w:spacing w:before="0" w:after="53"/>
        <w:ind w:left="567" w:hanging="0"/>
        <w:rPr/>
      </w:pPr>
      <w:r>
        <w:rPr>
          <w:color w:val="00000A"/>
          <w:sz w:val="22"/>
          <w:szCs w:val="22"/>
        </w:rPr>
        <w:t>d)    umístěna v domově pro osoby se zdravotním postižením, domově pro seniory, domově se zvláštním režimem nebo v chráněném bydlení, nebo</w:t>
      </w:r>
    </w:p>
    <w:p>
      <w:pPr>
        <w:pStyle w:val="Default"/>
        <w:spacing w:before="0" w:after="0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Default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e)    na základě zákona omezena na osobní svobodě s výjimkou osoby vykonávající trest domácího vězení.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>je ve vyšetřovací vazbě a výkonu trestu odnětí svobody v příslušném vězeňském zařízení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>je s pobytem v obci Vlčice, ale dlouhodobě se zde nezdržuje (více jak 10 měsíců)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>se zdržuje na území jiné obce a za komunální odpad platí této obci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>fyzické osoby, které mají trvalý pobyt v místě ohlašovny obce Vlčice č.p. 95, ale které skutečně v obci Vlčice celoročně nepobývají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>žije mimo území České republiky nepřetržitě po dobu nejméně 6 měsíců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>která se na územní obce po celý kalendářní rok nezdržuje a u níž není znám skutečný pobyt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 a tuto nemovitou věc pronajímá či využívá k podnikání, a která</w:t>
      </w:r>
    </w:p>
    <w:p>
      <w:pPr>
        <w:pStyle w:val="Normal"/>
        <w:numPr>
          <w:ilvl w:val="0"/>
          <w:numId w:val="0"/>
        </w:numPr>
        <w:spacing w:lineRule="auto" w:line="264" w:before="6" w:after="0"/>
        <w:ind w:left="567" w:hanging="0"/>
        <w:jc w:val="left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br/>
        <w:t>a) má uzavřenou smlouvu o odstraňování směsného komunálního odpadu se společnosti mající k této činnosti všechna zákonná oprávnění nebo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left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b) má uzavřenou smlouvu o využití systému zavedeného obcí o nakládání se směsným komunálním odpadem s obcí Vlčice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left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Úleva se poskytuje:</w:t>
      </w:r>
    </w:p>
    <w:p>
      <w:pPr>
        <w:pStyle w:val="Normal"/>
        <w:numPr>
          <w:ilvl w:val="1"/>
          <w:numId w:val="3"/>
        </w:numPr>
        <w:tabs>
          <w:tab w:val="left" w:pos="3780" w:leader="none"/>
        </w:tabs>
        <w:spacing w:lineRule="auto" w:line="264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u vícečetných rodin za každé třetí a další dítě, a to ve výši 480,- Kč</w:t>
      </w:r>
    </w:p>
    <w:p>
      <w:pPr>
        <w:pStyle w:val="Normal"/>
        <w:numPr>
          <w:ilvl w:val="1"/>
          <w:numId w:val="3"/>
        </w:numPr>
        <w:tabs>
          <w:tab w:val="left" w:pos="3780" w:leader="none"/>
        </w:tabs>
        <w:spacing w:lineRule="auto" w:line="264" w:before="0" w:after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u studentů, kteří studují a jsou ubytováni mimo obec, a to ve výši 480,- Kč.</w:t>
      </w:r>
    </w:p>
    <w:p>
      <w:pPr>
        <w:pStyle w:val="Normal"/>
        <w:tabs>
          <w:tab w:val="left" w:pos="3780" w:leader="none"/>
        </w:tabs>
        <w:spacing w:lineRule="auto" w:line="264" w:before="114" w:after="114"/>
        <w:ind w:hanging="0"/>
        <w:jc w:val="left"/>
        <w:rPr/>
      </w:pPr>
      <w:r>
        <w:rPr>
          <w:rFonts w:cs="Arial" w:ascii="Arial" w:hAnsi="Arial"/>
          <w:sz w:val="22"/>
          <w:szCs w:val="22"/>
        </w:rPr>
        <w:t xml:space="preserve">(5)    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Údaj rozhodný pro osvobození nebo úlevu dle odst. 1.2.3. a 4) tohoto článku je</w:t>
      </w:r>
    </w:p>
    <w:p>
      <w:pPr>
        <w:pStyle w:val="Normal"/>
        <w:tabs>
          <w:tab w:val="left" w:pos="3780" w:leader="none"/>
        </w:tabs>
        <w:spacing w:lineRule="auto" w:line="264"/>
        <w:ind w:hanging="0"/>
        <w:jc w:val="left"/>
        <w:rPr/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         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poplatník  povinen ohlásit ve lhůtě do 30.9. příslušného kalendářního roku.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(6)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tabs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tabs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</w:rPr>
        <w:footnoteReference w:id="17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2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tabs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/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>č. 1</w:t>
      </w:r>
      <w:r>
        <w:rPr>
          <w:rFonts w:cs="Arial" w:ascii="Arial" w:hAnsi="Arial"/>
          <w:i/>
          <w:sz w:val="22"/>
          <w:szCs w:val="22"/>
        </w:rPr>
        <w:t xml:space="preserve">/2021 o místním poplatku z provoz systému shromažďování, sběru, přepravy, třídění, využívání a odstraňování komunálních odpadů,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9.12.2021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>Tato vyhláška nabývá účinnosti dnem 1.1.2023.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......................................…</w:t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 xml:space="preserve">        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Bc. Vendula Schreiberová      </w:t>
      </w:r>
      <w:r>
        <w:rPr>
          <w:rFonts w:cs="Arial" w:ascii="Arial" w:hAnsi="Arial"/>
          <w:sz w:val="22"/>
          <w:szCs w:val="22"/>
        </w:rPr>
        <w:t xml:space="preserve">                                                    Ing. Josef Fojtek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místostarostka</w:t>
        <w:tab/>
        <w:t>starosta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>Vyvěšeno na úřední desce dne: 13.12.2022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>Sejmuto z úřední desky dne: 31.12.2022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  <w:t xml:space="preserve"> </w:t>
      </w:r>
      <w:r>
        <w:rPr>
          <w:rStyle w:val="Footnotereference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  <w:tab/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 xml:space="preserve">a) přihlášení k trvalému pobytu podle zákona o evidenci obyvatel, nebo  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1. kterému byl povolen trvalý pobyt,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2. který na území České republiky pobývá přechodně po dobu delší než 3 měsíce,</w:t>
      </w:r>
    </w:p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Style w:val="Footnotereference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Footnotetext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2">
    <w:name w:val="Heading 2"/>
    <w:basedOn w:val="Normal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Footnotereference">
    <w:name w:val="footnote reference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">
    <w:name w:val="ListLabel 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">
    <w:name w:val="ListLabel 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">
    <w:name w:val="ListLabel 4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">
    <w:name w:val="ListLabel 5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">
    <w:name w:val="ListLabel 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">
    <w:name w:val="ListLabel 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">
    <w:name w:val="ListLabel 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">
    <w:name w:val="ListLabel 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">
    <w:name w:val="ListLabel 1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1">
    <w:name w:val="ListLabel 1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2">
    <w:name w:val="ListLabel 1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3">
    <w:name w:val="ListLabel 1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8">
    <w:name w:val="ListLabel 1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9">
    <w:name w:val="ListLabel 19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0">
    <w:name w:val="ListLabel 2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1">
    <w:name w:val="ListLabel 21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22">
    <w:name w:val="ListLabel 2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3">
    <w:name w:val="ListLabel 23"/>
    <w:qFormat/>
    <w:rPr>
      <w:rFonts w:eastAsia="Calibri" w:cs="Calibri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Calibri" w:cs="Calibri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2">
    <w:name w:val="ListLabel 3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3">
    <w:name w:val="ListLabel 3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Ukotvenpoznmkypodarou">
    <w:name w:val="Ukotvení poznámky pod čarou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34">
    <w:name w:val="ListLabel 34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5">
    <w:name w:val="ListLabel 3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6">
    <w:name w:val="ListLabel 36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7">
    <w:name w:val="ListLabel 37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38">
    <w:name w:val="ListLabel 3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9">
    <w:name w:val="ListLabel 3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0">
    <w:name w:val="ListLabel 4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1">
    <w:name w:val="ListLabel 4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2">
    <w:name w:val="ListLabel 4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3">
    <w:name w:val="ListLabel 43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4">
    <w:name w:val="ListLabel 44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45">
    <w:name w:val="ListLabel 4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6">
    <w:name w:val="ListLabel 46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7">
    <w:name w:val="ListLabel 47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8">
    <w:name w:val="ListLabel 48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9">
    <w:name w:val="ListLabel 49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0">
    <w:name w:val="ListLabel 5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1">
    <w:name w:val="ListLabel 51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52">
    <w:name w:val="ListLabel 5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3">
    <w:name w:val="ListLabel 5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4">
    <w:name w:val="ListLabel 5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5">
    <w:name w:val="ListLabel 5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6">
    <w:name w:val="ListLabel 5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7">
    <w:name w:val="ListLabel 57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58">
    <w:name w:val="ListLabel 5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9">
    <w:name w:val="ListLabel 59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60">
    <w:name w:val="ListLabel 6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61">
    <w:name w:val="ListLabel 61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2">
    <w:name w:val="ListLabel 6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63">
    <w:name w:val="ListLabel 6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64">
    <w:name w:val="ListLabel 64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5">
    <w:name w:val="ListLabel 6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6">
    <w:name w:val="ListLabel 6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7">
    <w:name w:val="ListLabel 6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8">
    <w:name w:val="ListLabel 6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9">
    <w:name w:val="ListLabel 6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0">
    <w:name w:val="ListLabel 70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71">
    <w:name w:val="ListLabel 7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2">
    <w:name w:val="ListLabel 7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73">
    <w:name w:val="ListLabel 73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4">
    <w:name w:val="ListLabel 74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75">
    <w:name w:val="ListLabel 7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76">
    <w:name w:val="ListLabel 76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77">
    <w:name w:val="ListLabel 7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8">
    <w:name w:val="ListLabel 7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9">
    <w:name w:val="ListLabel 7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0">
    <w:name w:val="ListLabel 8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1">
    <w:name w:val="ListLabel 8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2">
    <w:name w:val="ListLabel 82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83">
    <w:name w:val="ListLabel 8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4">
    <w:name w:val="ListLabel 84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5">
    <w:name w:val="ListLabel 8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86">
    <w:name w:val="ListLabel 86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87">
    <w:name w:val="ListLabel 87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88">
    <w:name w:val="ListLabel 8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9">
    <w:name w:val="ListLabel 8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0">
    <w:name w:val="ListLabel 9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1">
    <w:name w:val="ListLabel 9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2">
    <w:name w:val="ListLabel 9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3">
    <w:name w:val="ListLabel 93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94">
    <w:name w:val="ListLabel 9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5">
    <w:name w:val="ListLabel 95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96">
    <w:name w:val="ListLabel 96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7">
    <w:name w:val="ListLabel 97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8">
    <w:name w:val="ListLabel 98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99">
    <w:name w:val="ListLabel 9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0">
    <w:name w:val="ListLabel 10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1">
    <w:name w:val="ListLabel 10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2">
    <w:name w:val="ListLabel 10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3">
    <w:name w:val="ListLabel 10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4">
    <w:name w:val="ListLabel 104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105">
    <w:name w:val="ListLabel 10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6">
    <w:name w:val="ListLabel 106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7">
    <w:name w:val="ListLabel 107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08">
    <w:name w:val="ListLabel 10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09">
    <w:name w:val="ListLabel 109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110">
    <w:name w:val="ListLabel 11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11">
    <w:name w:val="ListLabel 11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12">
    <w:name w:val="ListLabel 11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13">
    <w:name w:val="ListLabel 11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14">
    <w:name w:val="ListLabel 11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15">
    <w:name w:val="ListLabel 115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116">
    <w:name w:val="ListLabel 11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">
    <w:name w:val="Header"/>
    <w:basedOn w:val="Normal"/>
    <w:link w:val="ZhlavChar"/>
    <w:rsid w:val="00131160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qFormat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jc w:val="left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LibreOffice/5.2.4.2$Windows_X86_64 LibreOffice_project/3d5603e1122f0f102b62521720ab13a38a4e0eb0</Application>
  <Pages>6</Pages>
  <Words>1731</Words>
  <Characters>9490</Characters>
  <CharactersWithSpaces>11215</CharactersWithSpaces>
  <Paragraphs>126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2020-12-11T10:10:00Z</dcterms:created>
  <dc:creator>Mgr. Lukáš Toman</dc:creator>
  <dc:description/>
  <dc:language>cs-CZ</dc:language>
  <cp:lastModifiedBy/>
  <cp:lastPrinted>2022-12-12T18:17:55Z</cp:lastPrinted>
  <dcterms:modified xsi:type="dcterms:W3CDTF">2022-12-13T07:48:21Z</dcterms:modified>
  <cp:revision>14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