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1717" w14:textId="77777777" w:rsidR="007E72DC" w:rsidRPr="003D4AC9" w:rsidRDefault="007E72DC" w:rsidP="007E72DC">
      <w:pPr>
        <w:pageBreakBefore/>
        <w:spacing w:after="120" w:line="240"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14:anchorId="22DE1D24" wp14:editId="3E10BD34">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14:paraId="2C719D88" w14:textId="77777777" w:rsidR="007E72DC" w:rsidRPr="003D4AC9" w:rsidRDefault="007E72DC" w:rsidP="007E72DC">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14:paraId="1DB52B85" w14:textId="77777777" w:rsidR="007E72DC" w:rsidRPr="003D4AC9" w:rsidRDefault="007E72DC" w:rsidP="007E72DC">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14:paraId="4A53613C" w14:textId="77777777" w:rsidR="007E72DC" w:rsidRPr="003D4AC9" w:rsidRDefault="007E72DC" w:rsidP="007E72DC">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7E72DC" w:rsidRPr="003F6132" w14:paraId="7B9665EA" w14:textId="77777777" w:rsidTr="006F4E68">
        <w:tc>
          <w:tcPr>
            <w:tcW w:w="3402" w:type="dxa"/>
            <w:hideMark/>
          </w:tcPr>
          <w:p w14:paraId="7BC6256B" w14:textId="77777777" w:rsidR="007E72DC" w:rsidRPr="003F6132" w:rsidRDefault="007E72DC" w:rsidP="006F4E68">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Pr>
                <w:rFonts w:ascii="Arial" w:eastAsia="Times New Roman" w:hAnsi="Arial" w:cs="Arial"/>
                <w:lang w:eastAsia="cs-CZ"/>
              </w:rPr>
              <w:t>72457</w:t>
            </w:r>
            <w:r w:rsidRPr="003F6132">
              <w:rPr>
                <w:rFonts w:ascii="Arial" w:eastAsia="Times New Roman" w:hAnsi="Arial" w:cs="Arial"/>
                <w:lang w:eastAsia="cs-CZ"/>
              </w:rPr>
              <w:t>-</w:t>
            </w:r>
            <w:r>
              <w:rPr>
                <w:rFonts w:ascii="Arial" w:eastAsia="Times New Roman" w:hAnsi="Arial" w:cs="Arial"/>
                <w:lang w:eastAsia="cs-CZ"/>
              </w:rPr>
              <w:t>5/SO-2023</w:t>
            </w:r>
          </w:p>
        </w:tc>
      </w:tr>
    </w:tbl>
    <w:p w14:paraId="53D0BF83" w14:textId="77777777" w:rsidR="007E72DC" w:rsidRPr="003F6132" w:rsidRDefault="007E72DC" w:rsidP="007E72DC">
      <w:pPr>
        <w:spacing w:after="0" w:line="240" w:lineRule="auto"/>
        <w:jc w:val="both"/>
        <w:rPr>
          <w:rFonts w:ascii="Arial" w:eastAsia="Times New Roman" w:hAnsi="Arial" w:cs="Arial"/>
          <w:lang w:eastAsia="cs-CZ"/>
        </w:rPr>
      </w:pPr>
    </w:p>
    <w:tbl>
      <w:tblPr>
        <w:tblW w:w="2803" w:type="dxa"/>
        <w:tblInd w:w="6128" w:type="dxa"/>
        <w:tblLook w:val="01E0" w:firstRow="1" w:lastRow="1" w:firstColumn="1" w:lastColumn="1" w:noHBand="0" w:noVBand="0"/>
      </w:tblPr>
      <w:tblGrid>
        <w:gridCol w:w="2803"/>
      </w:tblGrid>
      <w:tr w:rsidR="007E72DC" w:rsidRPr="008C0144" w14:paraId="3684E314" w14:textId="77777777" w:rsidTr="006F4E68">
        <w:trPr>
          <w:trHeight w:val="293"/>
        </w:trPr>
        <w:tc>
          <w:tcPr>
            <w:tcW w:w="2803" w:type="dxa"/>
            <w:hideMark/>
          </w:tcPr>
          <w:p w14:paraId="0A4FE806" w14:textId="1AF48263" w:rsidR="007E72DC" w:rsidRPr="008C0144" w:rsidRDefault="007E72DC" w:rsidP="006F4E68">
            <w:pPr>
              <w:spacing w:after="0"/>
              <w:rPr>
                <w:rFonts w:ascii="Arial" w:hAnsi="Arial" w:cs="Arial"/>
              </w:rPr>
            </w:pPr>
            <w:r w:rsidRPr="008C0144">
              <w:rPr>
                <w:rFonts w:ascii="Arial" w:hAnsi="Arial" w:cs="Arial"/>
              </w:rPr>
              <w:t>Praha</w:t>
            </w:r>
            <w:bookmarkStart w:id="0" w:name="_GoBack"/>
            <w:bookmarkEnd w:id="0"/>
            <w:r>
              <w:rPr>
                <w:rFonts w:ascii="Arial" w:hAnsi="Arial"/>
                <w:bCs/>
              </w:rPr>
              <w:t xml:space="preserve"> </w:t>
            </w:r>
            <w:r w:rsidR="002A07B6">
              <w:rPr>
                <w:rFonts w:ascii="Arial" w:hAnsi="Arial" w:cs="Arial"/>
              </w:rPr>
              <w:t>12. září 2023</w:t>
            </w:r>
            <w:r>
              <w:rPr>
                <w:rFonts w:ascii="Arial" w:hAnsi="Arial"/>
                <w:bCs/>
              </w:rPr>
              <w:t xml:space="preserve">   </w:t>
            </w:r>
          </w:p>
        </w:tc>
      </w:tr>
      <w:tr w:rsidR="007E72DC" w:rsidRPr="008C0144" w14:paraId="12549DB5" w14:textId="77777777" w:rsidTr="006F4E68">
        <w:trPr>
          <w:trHeight w:val="293"/>
        </w:trPr>
        <w:tc>
          <w:tcPr>
            <w:tcW w:w="2803" w:type="dxa"/>
            <w:hideMark/>
          </w:tcPr>
          <w:p w14:paraId="2308593F" w14:textId="77777777" w:rsidR="007E72DC" w:rsidRPr="008C0144" w:rsidRDefault="007E72DC" w:rsidP="006F4E68">
            <w:pPr>
              <w:spacing w:after="0"/>
              <w:rPr>
                <w:rFonts w:ascii="Arial" w:hAnsi="Arial" w:cs="Arial"/>
              </w:rPr>
            </w:pPr>
            <w:r>
              <w:rPr>
                <w:rFonts w:ascii="Arial" w:hAnsi="Arial" w:cs="Arial"/>
              </w:rPr>
              <w:t>Počet listů: 4</w:t>
            </w:r>
          </w:p>
        </w:tc>
      </w:tr>
    </w:tbl>
    <w:p w14:paraId="5332D7BC" w14:textId="77777777" w:rsidR="007E72DC" w:rsidRPr="00315BC9" w:rsidRDefault="007E72DC" w:rsidP="007E72DC">
      <w:pPr>
        <w:spacing w:after="0" w:line="240" w:lineRule="auto"/>
        <w:rPr>
          <w:rFonts w:ascii="Arial" w:eastAsia="Times New Roman" w:hAnsi="Arial" w:cs="Arial"/>
          <w:lang w:eastAsia="cs-CZ"/>
        </w:rPr>
      </w:pPr>
    </w:p>
    <w:tbl>
      <w:tblPr>
        <w:tblW w:w="8818" w:type="dxa"/>
        <w:tblInd w:w="113" w:type="dxa"/>
        <w:tblLayout w:type="fixed"/>
        <w:tblLook w:val="04A0" w:firstRow="1" w:lastRow="0" w:firstColumn="1" w:lastColumn="0" w:noHBand="0" w:noVBand="1"/>
      </w:tblPr>
      <w:tblGrid>
        <w:gridCol w:w="4531"/>
        <w:gridCol w:w="4287"/>
      </w:tblGrid>
      <w:tr w:rsidR="007E72DC" w:rsidRPr="00315BC9" w14:paraId="34F7D496" w14:textId="77777777" w:rsidTr="006F4E68">
        <w:trPr>
          <w:trHeight w:val="330"/>
        </w:trPr>
        <w:tc>
          <w:tcPr>
            <w:tcW w:w="4531" w:type="dxa"/>
          </w:tcPr>
          <w:p w14:paraId="608B1CDD" w14:textId="77777777" w:rsidR="007E72DC" w:rsidRPr="00315BC9" w:rsidRDefault="007E72DC" w:rsidP="006F4E68">
            <w:pPr>
              <w:spacing w:after="0"/>
              <w:rPr>
                <w:rFonts w:ascii="Arial" w:hAnsi="Arial" w:cs="Arial"/>
                <w:b/>
                <w:u w:val="single"/>
              </w:rPr>
            </w:pPr>
            <w:r w:rsidRPr="00315BC9">
              <w:rPr>
                <w:rFonts w:ascii="Arial" w:hAnsi="Arial" w:cs="Arial"/>
                <w:b/>
                <w:u w:val="single"/>
              </w:rPr>
              <w:t>Účastník řízení:</w:t>
            </w:r>
          </w:p>
        </w:tc>
        <w:tc>
          <w:tcPr>
            <w:tcW w:w="4287" w:type="dxa"/>
          </w:tcPr>
          <w:p w14:paraId="53DF34C2" w14:textId="77777777" w:rsidR="007E72DC" w:rsidRPr="00315BC9" w:rsidRDefault="007E72DC" w:rsidP="006F4E68">
            <w:pPr>
              <w:suppressAutoHyphens/>
              <w:overflowPunct w:val="0"/>
              <w:autoSpaceDE w:val="0"/>
              <w:snapToGrid w:val="0"/>
              <w:spacing w:after="0"/>
              <w:ind w:right="55"/>
              <w:textAlignment w:val="baseline"/>
              <w:rPr>
                <w:rFonts w:ascii="Arial" w:eastAsia="Times New Roman" w:hAnsi="Arial" w:cs="Arial"/>
                <w:b/>
                <w:u w:val="single"/>
              </w:rPr>
            </w:pPr>
            <w:r w:rsidRPr="00315BC9">
              <w:rPr>
                <w:rFonts w:ascii="Arial" w:eastAsia="Times New Roman" w:hAnsi="Arial" w:cs="Arial"/>
                <w:b/>
                <w:u w:val="single"/>
              </w:rPr>
              <w:t>Zmocněný zástupce:</w:t>
            </w:r>
          </w:p>
        </w:tc>
      </w:tr>
      <w:tr w:rsidR="007E72DC" w:rsidRPr="00315BC9" w14:paraId="348470BE" w14:textId="77777777" w:rsidTr="006F4E68">
        <w:trPr>
          <w:trHeight w:val="330"/>
        </w:trPr>
        <w:tc>
          <w:tcPr>
            <w:tcW w:w="4531" w:type="dxa"/>
          </w:tcPr>
          <w:p w14:paraId="22A35DBA" w14:textId="77777777" w:rsidR="007E72DC" w:rsidRPr="00315BC9" w:rsidRDefault="007E72DC" w:rsidP="006F4E68">
            <w:pPr>
              <w:spacing w:after="0"/>
              <w:rPr>
                <w:rFonts w:ascii="Arial" w:hAnsi="Arial" w:cs="Arial"/>
              </w:rPr>
            </w:pPr>
          </w:p>
        </w:tc>
        <w:tc>
          <w:tcPr>
            <w:tcW w:w="4287" w:type="dxa"/>
          </w:tcPr>
          <w:p w14:paraId="704F7D3D" w14:textId="77777777" w:rsidR="007E72DC" w:rsidRPr="00315BC9" w:rsidRDefault="007E72DC" w:rsidP="006F4E68">
            <w:pPr>
              <w:snapToGrid w:val="0"/>
              <w:spacing w:after="0"/>
              <w:rPr>
                <w:rFonts w:ascii="Arial" w:hAnsi="Arial" w:cs="Arial"/>
              </w:rPr>
            </w:pPr>
          </w:p>
        </w:tc>
      </w:tr>
      <w:tr w:rsidR="007E72DC" w:rsidRPr="00315BC9" w14:paraId="4D4262DA" w14:textId="77777777" w:rsidTr="006F4E68">
        <w:trPr>
          <w:trHeight w:val="330"/>
        </w:trPr>
        <w:tc>
          <w:tcPr>
            <w:tcW w:w="4531" w:type="dxa"/>
          </w:tcPr>
          <w:p w14:paraId="57E5EBEF" w14:textId="77777777" w:rsidR="007E72DC" w:rsidRPr="00315BC9" w:rsidRDefault="007E72DC" w:rsidP="006F4E68">
            <w:pPr>
              <w:spacing w:after="0"/>
              <w:rPr>
                <w:rFonts w:ascii="Arial" w:hAnsi="Arial" w:cs="Arial"/>
              </w:rPr>
            </w:pPr>
            <w:r w:rsidRPr="00315BC9">
              <w:rPr>
                <w:rFonts w:ascii="Arial" w:eastAsia="Times New Roman" w:hAnsi="Arial" w:cs="Arial"/>
                <w:bCs/>
                <w:lang w:eastAsia="cs-CZ"/>
              </w:rPr>
              <w:t xml:space="preserve">obec </w:t>
            </w:r>
            <w:r w:rsidRPr="00315BC9">
              <w:rPr>
                <w:rFonts w:ascii="Arial" w:eastAsia="Times New Roman" w:hAnsi="Arial" w:cs="Arial"/>
                <w:b/>
                <w:lang w:eastAsia="cs-CZ"/>
              </w:rPr>
              <w:t>Opatovice nad Labem</w:t>
            </w:r>
          </w:p>
        </w:tc>
        <w:tc>
          <w:tcPr>
            <w:tcW w:w="4287" w:type="dxa"/>
          </w:tcPr>
          <w:p w14:paraId="2A991188" w14:textId="77777777" w:rsidR="007E72DC" w:rsidRPr="00315BC9" w:rsidRDefault="007E72DC" w:rsidP="006F4E68">
            <w:pPr>
              <w:snapToGrid w:val="0"/>
              <w:spacing w:after="0"/>
              <w:rPr>
                <w:rFonts w:ascii="Arial" w:hAnsi="Arial" w:cs="Arial"/>
              </w:rPr>
            </w:pPr>
            <w:r w:rsidRPr="00315BC9">
              <w:rPr>
                <w:rFonts w:ascii="Arial" w:hAnsi="Arial" w:cs="Arial"/>
              </w:rPr>
              <w:t>Pan</w:t>
            </w:r>
          </w:p>
        </w:tc>
      </w:tr>
      <w:tr w:rsidR="007E72DC" w:rsidRPr="00315BC9" w14:paraId="2C60EE3C" w14:textId="77777777" w:rsidTr="006F4E68">
        <w:trPr>
          <w:trHeight w:val="330"/>
        </w:trPr>
        <w:tc>
          <w:tcPr>
            <w:tcW w:w="4531" w:type="dxa"/>
          </w:tcPr>
          <w:p w14:paraId="06D713E0" w14:textId="77777777" w:rsidR="007E72DC" w:rsidRPr="00315BC9" w:rsidRDefault="007E72DC" w:rsidP="006F4E68">
            <w:pPr>
              <w:spacing w:after="0"/>
              <w:rPr>
                <w:rFonts w:ascii="Arial" w:hAnsi="Arial" w:cs="Arial"/>
              </w:rPr>
            </w:pPr>
            <w:r w:rsidRPr="00315BC9">
              <w:rPr>
                <w:rFonts w:ascii="Arial" w:hAnsi="Arial" w:cs="Arial"/>
              </w:rPr>
              <w:t>Pardubická 160</w:t>
            </w:r>
          </w:p>
        </w:tc>
        <w:tc>
          <w:tcPr>
            <w:tcW w:w="4287" w:type="dxa"/>
          </w:tcPr>
          <w:p w14:paraId="04222137" w14:textId="77777777" w:rsidR="007E72DC" w:rsidRPr="00315BC9" w:rsidRDefault="007E72DC" w:rsidP="006F4E68">
            <w:pPr>
              <w:suppressAutoHyphens/>
              <w:overflowPunct w:val="0"/>
              <w:autoSpaceDE w:val="0"/>
              <w:snapToGrid w:val="0"/>
              <w:spacing w:after="0"/>
              <w:ind w:right="55"/>
              <w:textAlignment w:val="baseline"/>
              <w:rPr>
                <w:rFonts w:ascii="Arial" w:eastAsia="Times New Roman" w:hAnsi="Arial" w:cs="Arial"/>
                <w:b/>
                <w:bCs/>
              </w:rPr>
            </w:pPr>
            <w:r w:rsidRPr="00315BC9">
              <w:rPr>
                <w:rFonts w:ascii="Arial" w:eastAsia="Times New Roman" w:hAnsi="Arial" w:cs="Arial"/>
                <w:b/>
                <w:bCs/>
              </w:rPr>
              <w:t>Mgr. et Mgr. Michal Bouška</w:t>
            </w:r>
            <w:r w:rsidRPr="00315BC9">
              <w:rPr>
                <w:rFonts w:ascii="Arial" w:eastAsia="Times New Roman" w:hAnsi="Arial" w:cs="Arial"/>
              </w:rPr>
              <w:t>, advokát</w:t>
            </w:r>
          </w:p>
        </w:tc>
      </w:tr>
      <w:tr w:rsidR="007E72DC" w:rsidRPr="00315BC9" w14:paraId="6AE75B46" w14:textId="77777777" w:rsidTr="006F4E68">
        <w:trPr>
          <w:trHeight w:val="330"/>
        </w:trPr>
        <w:tc>
          <w:tcPr>
            <w:tcW w:w="4531" w:type="dxa"/>
          </w:tcPr>
          <w:p w14:paraId="1DA03091" w14:textId="77777777" w:rsidR="007E72DC" w:rsidRPr="00315BC9" w:rsidRDefault="007E72DC" w:rsidP="006F4E68">
            <w:pPr>
              <w:spacing w:after="0"/>
              <w:rPr>
                <w:rFonts w:ascii="Arial" w:hAnsi="Arial" w:cs="Arial"/>
              </w:rPr>
            </w:pPr>
            <w:r w:rsidRPr="00315BC9">
              <w:rPr>
                <w:rFonts w:ascii="Arial" w:hAnsi="Arial" w:cs="Arial"/>
              </w:rPr>
              <w:t>533 45 Opatovice nad Labem</w:t>
            </w:r>
          </w:p>
        </w:tc>
        <w:tc>
          <w:tcPr>
            <w:tcW w:w="4287" w:type="dxa"/>
          </w:tcPr>
          <w:p w14:paraId="2573EA11" w14:textId="77777777" w:rsidR="007E72DC" w:rsidRPr="00315BC9" w:rsidRDefault="007E72DC" w:rsidP="006F4E68">
            <w:pPr>
              <w:suppressAutoHyphens/>
              <w:overflowPunct w:val="0"/>
              <w:autoSpaceDE w:val="0"/>
              <w:snapToGrid w:val="0"/>
              <w:spacing w:after="0"/>
              <w:ind w:right="55"/>
              <w:textAlignment w:val="baseline"/>
              <w:rPr>
                <w:rFonts w:ascii="Arial" w:eastAsia="Times New Roman" w:hAnsi="Arial" w:cs="Arial"/>
              </w:rPr>
            </w:pPr>
            <w:r w:rsidRPr="00315BC9">
              <w:rPr>
                <w:rFonts w:ascii="Arial" w:eastAsia="Times New Roman" w:hAnsi="Arial" w:cs="Arial"/>
              </w:rPr>
              <w:t>Teplého 2786</w:t>
            </w:r>
          </w:p>
        </w:tc>
      </w:tr>
      <w:tr w:rsidR="007E72DC" w:rsidRPr="00315BC9" w14:paraId="70942135" w14:textId="77777777" w:rsidTr="006F4E68">
        <w:trPr>
          <w:trHeight w:val="330"/>
        </w:trPr>
        <w:tc>
          <w:tcPr>
            <w:tcW w:w="4531" w:type="dxa"/>
          </w:tcPr>
          <w:p w14:paraId="48A5891C" w14:textId="77777777" w:rsidR="007E72DC" w:rsidRPr="00315BC9" w:rsidRDefault="007E72DC" w:rsidP="006F4E68">
            <w:pPr>
              <w:spacing w:after="0"/>
              <w:rPr>
                <w:rFonts w:ascii="Arial" w:hAnsi="Arial" w:cs="Arial"/>
              </w:rPr>
            </w:pPr>
          </w:p>
        </w:tc>
        <w:tc>
          <w:tcPr>
            <w:tcW w:w="4287" w:type="dxa"/>
          </w:tcPr>
          <w:p w14:paraId="1189DA9B" w14:textId="77777777" w:rsidR="007E72DC" w:rsidRPr="00315BC9" w:rsidRDefault="007E72DC" w:rsidP="006F4E68">
            <w:pPr>
              <w:suppressAutoHyphens/>
              <w:overflowPunct w:val="0"/>
              <w:autoSpaceDE w:val="0"/>
              <w:snapToGrid w:val="0"/>
              <w:spacing w:after="0"/>
              <w:ind w:right="55"/>
              <w:textAlignment w:val="baseline"/>
              <w:rPr>
                <w:rFonts w:ascii="Arial" w:eastAsia="Times New Roman" w:hAnsi="Arial" w:cs="Arial"/>
              </w:rPr>
            </w:pPr>
            <w:r w:rsidRPr="00315BC9">
              <w:rPr>
                <w:rFonts w:ascii="Arial" w:eastAsia="Times New Roman" w:hAnsi="Arial" w:cs="Arial"/>
              </w:rPr>
              <w:t>530 02 Pardubice</w:t>
            </w:r>
          </w:p>
        </w:tc>
      </w:tr>
      <w:tr w:rsidR="007E72DC" w:rsidRPr="00315BC9" w14:paraId="1F3EB654" w14:textId="77777777" w:rsidTr="006F4E68">
        <w:trPr>
          <w:trHeight w:val="330"/>
        </w:trPr>
        <w:tc>
          <w:tcPr>
            <w:tcW w:w="4531" w:type="dxa"/>
          </w:tcPr>
          <w:p w14:paraId="7DCAD13B" w14:textId="77777777" w:rsidR="007E72DC" w:rsidRPr="00315BC9" w:rsidRDefault="007E72DC" w:rsidP="006F4E68">
            <w:pPr>
              <w:spacing w:after="0"/>
              <w:rPr>
                <w:rFonts w:ascii="Arial" w:hAnsi="Arial" w:cs="Arial"/>
                <w:i/>
              </w:rPr>
            </w:pPr>
          </w:p>
        </w:tc>
        <w:tc>
          <w:tcPr>
            <w:tcW w:w="4287" w:type="dxa"/>
          </w:tcPr>
          <w:p w14:paraId="68C9C2B0" w14:textId="77777777" w:rsidR="007E72DC" w:rsidRPr="00315BC9" w:rsidRDefault="007E72DC" w:rsidP="006F4E68">
            <w:pPr>
              <w:spacing w:after="0"/>
              <w:rPr>
                <w:rFonts w:ascii="Arial" w:hAnsi="Arial" w:cs="Arial"/>
              </w:rPr>
            </w:pPr>
          </w:p>
        </w:tc>
      </w:tr>
      <w:tr w:rsidR="007E72DC" w:rsidRPr="00315BC9" w14:paraId="6001DD61" w14:textId="77777777" w:rsidTr="006F4E68">
        <w:trPr>
          <w:trHeight w:val="330"/>
        </w:trPr>
        <w:tc>
          <w:tcPr>
            <w:tcW w:w="4531" w:type="dxa"/>
          </w:tcPr>
          <w:p w14:paraId="43E56691" w14:textId="77777777" w:rsidR="007E72DC" w:rsidRPr="00315BC9" w:rsidRDefault="007E72DC" w:rsidP="006F4E68">
            <w:pPr>
              <w:spacing w:after="0"/>
              <w:rPr>
                <w:rFonts w:ascii="Arial" w:hAnsi="Arial" w:cs="Arial"/>
              </w:rPr>
            </w:pPr>
          </w:p>
        </w:tc>
        <w:tc>
          <w:tcPr>
            <w:tcW w:w="4287" w:type="dxa"/>
          </w:tcPr>
          <w:p w14:paraId="529CAF67" w14:textId="77777777" w:rsidR="007E72DC" w:rsidRPr="00315BC9" w:rsidRDefault="007E72DC" w:rsidP="006F4E68">
            <w:pPr>
              <w:spacing w:after="0"/>
              <w:rPr>
                <w:rFonts w:ascii="Arial" w:hAnsi="Arial" w:cs="Arial"/>
              </w:rPr>
            </w:pPr>
            <w:r w:rsidRPr="00315BC9">
              <w:rPr>
                <w:rFonts w:ascii="Arial" w:hAnsi="Arial" w:cs="Arial"/>
                <w:u w:val="single"/>
              </w:rPr>
              <w:t>ID datové schránky</w:t>
            </w:r>
            <w:r w:rsidRPr="00315BC9">
              <w:rPr>
                <w:rFonts w:ascii="Arial" w:hAnsi="Arial" w:cs="Arial"/>
              </w:rPr>
              <w:t xml:space="preserve">: </w:t>
            </w:r>
            <w:r w:rsidRPr="00315BC9">
              <w:rPr>
                <w:rFonts w:ascii="Arial" w:hAnsi="Arial" w:cs="Arial"/>
                <w:i/>
                <w:iCs/>
              </w:rPr>
              <w:t>bhnjpqk</w:t>
            </w:r>
          </w:p>
        </w:tc>
      </w:tr>
    </w:tbl>
    <w:p w14:paraId="4296BFB5" w14:textId="77777777" w:rsidR="007E72DC" w:rsidRPr="00315BC9" w:rsidRDefault="007E72DC" w:rsidP="007E72DC">
      <w:pPr>
        <w:suppressAutoHyphens/>
        <w:overflowPunct w:val="0"/>
        <w:autoSpaceDE w:val="0"/>
        <w:autoSpaceDN w:val="0"/>
        <w:adjustRightInd w:val="0"/>
        <w:spacing w:after="120" w:line="240" w:lineRule="auto"/>
        <w:textAlignment w:val="baseline"/>
        <w:rPr>
          <w:rFonts w:ascii="Arial" w:eastAsia="Times New Roman" w:hAnsi="Arial" w:cs="Arial"/>
          <w:b/>
          <w:spacing w:val="60"/>
          <w:lang w:eastAsia="cs-CZ"/>
        </w:rPr>
      </w:pPr>
    </w:p>
    <w:p w14:paraId="2C456B0E" w14:textId="77777777" w:rsidR="007E72DC" w:rsidRPr="00315BC9" w:rsidRDefault="007E72DC" w:rsidP="007E72DC">
      <w:pPr>
        <w:suppressAutoHyphens/>
        <w:overflowPunct w:val="0"/>
        <w:autoSpaceDE w:val="0"/>
        <w:autoSpaceDN w:val="0"/>
        <w:adjustRightInd w:val="0"/>
        <w:spacing w:after="120" w:line="240" w:lineRule="auto"/>
        <w:textAlignment w:val="baseline"/>
        <w:rPr>
          <w:rFonts w:ascii="Arial" w:eastAsia="Times New Roman" w:hAnsi="Arial" w:cs="Arial"/>
          <w:b/>
          <w:spacing w:val="60"/>
          <w:lang w:eastAsia="cs-CZ"/>
        </w:rPr>
      </w:pPr>
    </w:p>
    <w:p w14:paraId="7E28CBED" w14:textId="77777777" w:rsidR="007E72DC" w:rsidRPr="00315BC9" w:rsidRDefault="007E72DC" w:rsidP="007E72DC">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315BC9">
        <w:rPr>
          <w:rFonts w:ascii="Arial" w:eastAsia="Times New Roman" w:hAnsi="Arial" w:cs="Arial"/>
          <w:b/>
          <w:spacing w:val="60"/>
          <w:sz w:val="32"/>
          <w:szCs w:val="32"/>
          <w:lang w:eastAsia="cs-CZ"/>
        </w:rPr>
        <w:t>ROZHODNUTÍ</w:t>
      </w:r>
    </w:p>
    <w:p w14:paraId="7E244D1D" w14:textId="77777777" w:rsidR="007E72DC" w:rsidRPr="00315BC9" w:rsidRDefault="007E72DC" w:rsidP="007E72DC">
      <w:pPr>
        <w:suppressAutoHyphens/>
        <w:overflowPunct w:val="0"/>
        <w:autoSpaceDE w:val="0"/>
        <w:autoSpaceDN w:val="0"/>
        <w:adjustRightInd w:val="0"/>
        <w:spacing w:after="120"/>
        <w:jc w:val="center"/>
        <w:textAlignment w:val="baseline"/>
        <w:rPr>
          <w:rFonts w:ascii="Arial" w:eastAsia="Times New Roman" w:hAnsi="Arial" w:cs="Arial"/>
          <w:bCs/>
          <w:spacing w:val="60"/>
          <w:lang w:eastAsia="cs-CZ"/>
        </w:rPr>
      </w:pPr>
    </w:p>
    <w:p w14:paraId="51AF41DA" w14:textId="77777777" w:rsidR="007E72DC" w:rsidRPr="00315BC9" w:rsidRDefault="007E72DC" w:rsidP="007E72DC">
      <w:pPr>
        <w:spacing w:after="120"/>
        <w:ind w:firstLine="708"/>
        <w:jc w:val="both"/>
        <w:rPr>
          <w:rFonts w:ascii="Arial" w:eastAsia="Times New Roman" w:hAnsi="Arial" w:cs="Arial"/>
          <w:lang w:eastAsia="cs-CZ"/>
        </w:rPr>
      </w:pPr>
      <w:r w:rsidRPr="00315BC9">
        <w:rPr>
          <w:rFonts w:ascii="Arial" w:eastAsia="Times New Roman" w:hAnsi="Arial" w:cs="Arial"/>
        </w:rPr>
        <w:t xml:space="preserve">Ministr vnitra </w:t>
      </w:r>
      <w:r w:rsidRPr="00315BC9">
        <w:rPr>
          <w:rFonts w:ascii="Arial" w:hAnsi="Arial" w:cs="Arial"/>
        </w:rPr>
        <w:t xml:space="preserve">jako věcně příslušný správní orgán podle </w:t>
      </w:r>
      <w:r w:rsidRPr="00315BC9">
        <w:rPr>
          <w:rFonts w:ascii="Arial" w:eastAsia="Times New Roman" w:hAnsi="Arial" w:cs="Arial"/>
        </w:rPr>
        <w:t xml:space="preserve">§ 95 odst. 6 ve spojení § 152 odst. 3 zákona č. 500/2004 Sb., správní řád, ve znění pozdějších předpisů (dále jen „správní řád“), po projednání v rozkladové komisi ministra vnitra, </w:t>
      </w:r>
      <w:r w:rsidRPr="00315BC9">
        <w:rPr>
          <w:rFonts w:ascii="Arial" w:eastAsia="Times New Roman" w:hAnsi="Arial" w:cs="Arial"/>
          <w:b/>
        </w:rPr>
        <w:t>rozhodl z moci úřední o provedení zkráceného přezkumného řízení</w:t>
      </w:r>
      <w:r w:rsidRPr="00315BC9">
        <w:rPr>
          <w:rFonts w:ascii="Arial" w:eastAsia="Times New Roman" w:hAnsi="Arial" w:cs="Arial"/>
          <w:bCs/>
        </w:rPr>
        <w:t xml:space="preserve"> podle § 98 správního řádu ve věci</w:t>
      </w:r>
      <w:r w:rsidRPr="00315BC9">
        <w:rPr>
          <w:rFonts w:ascii="Arial" w:eastAsia="Times New Roman" w:hAnsi="Arial" w:cs="Arial"/>
        </w:rPr>
        <w:t xml:space="preserve"> rozhodnutí ministra vnitra</w:t>
      </w:r>
      <w:r w:rsidRPr="00315BC9">
        <w:rPr>
          <w:rFonts w:ascii="Arial" w:eastAsia="Arial Unicode MS" w:hAnsi="Arial" w:cs="Arial"/>
          <w:lang w:eastAsia="cs-CZ"/>
        </w:rPr>
        <w:t xml:space="preserve"> ze dne 27. 6. 2023, č. j. MV-72457-3/SO-2023, kterým byl podle § 152 odst. 6 písm. b) správního řádu zamítnut rozklad,</w:t>
      </w:r>
      <w:r w:rsidRPr="00315BC9">
        <w:rPr>
          <w:rFonts w:ascii="Arial" w:eastAsia="Times New Roman" w:hAnsi="Arial" w:cs="Arial"/>
          <w:lang w:eastAsia="cs-CZ"/>
        </w:rPr>
        <w:t xml:space="preserve"> který podala prostřednictvím zmocněného zástupce obec </w:t>
      </w:r>
      <w:r w:rsidRPr="00315BC9">
        <w:rPr>
          <w:rFonts w:ascii="Arial" w:eastAsia="Times New Roman" w:hAnsi="Arial" w:cs="Arial"/>
          <w:b/>
          <w:bCs/>
          <w:lang w:eastAsia="cs-CZ"/>
        </w:rPr>
        <w:t>Opatovice nad Labem</w:t>
      </w:r>
      <w:r w:rsidRPr="00315BC9">
        <w:rPr>
          <w:rFonts w:ascii="Arial" w:eastAsia="Times New Roman" w:hAnsi="Arial" w:cs="Arial"/>
          <w:lang w:eastAsia="cs-CZ"/>
        </w:rPr>
        <w:t>, se sídlem Pardubická 160, 533 45 Opatovice nad Labem, IČO 002 74 011</w:t>
      </w:r>
      <w:r w:rsidRPr="00315BC9">
        <w:rPr>
          <w:rFonts w:ascii="Arial" w:hAnsi="Arial" w:cs="Arial"/>
        </w:rPr>
        <w:t xml:space="preserve"> (dále jen „obec </w:t>
      </w:r>
      <w:r w:rsidRPr="00315BC9">
        <w:rPr>
          <w:rFonts w:ascii="Arial" w:eastAsia="Times New Roman" w:hAnsi="Arial" w:cs="Arial"/>
          <w:lang w:eastAsia="cs-CZ"/>
        </w:rPr>
        <w:t>Opatovice nad Labem</w:t>
      </w:r>
      <w:r w:rsidRPr="00315BC9">
        <w:rPr>
          <w:rFonts w:ascii="Arial" w:hAnsi="Arial" w:cs="Arial"/>
        </w:rPr>
        <w:t xml:space="preserve">“ nebo také jen „obec“), proti </w:t>
      </w:r>
      <w:r w:rsidRPr="00315BC9">
        <w:rPr>
          <w:rFonts w:ascii="Arial" w:eastAsia="Arial Unicode MS" w:hAnsi="Arial" w:cs="Arial"/>
          <w:lang w:eastAsia="cs-CZ"/>
        </w:rPr>
        <w:t>rozhodnutí Ministerstva vnitra, odboru veřejné správy, dozoru a kontroly (dále jen „Ministerstvo vnitra“), ze dne 14. 3. 2023, č. j. MV-172507-18/ODK-2022</w:t>
      </w:r>
      <w:r w:rsidRPr="00315BC9">
        <w:rPr>
          <w:rFonts w:ascii="Arial" w:hAnsi="Arial" w:cs="Arial"/>
        </w:rPr>
        <w:t xml:space="preserve">, kterým byla </w:t>
      </w:r>
      <w:r w:rsidRPr="00315BC9">
        <w:rPr>
          <w:rFonts w:ascii="Arial" w:eastAsia="Arial Unicode MS" w:hAnsi="Arial" w:cs="Arial"/>
        </w:rPr>
        <w:t xml:space="preserve">podle § 123 odst. 1 zákona č. 128/2000 Sb., o obcích (obecní zřízení), ve znění pozdějších předpisů </w:t>
      </w:r>
      <w:r w:rsidRPr="00315BC9">
        <w:rPr>
          <w:rFonts w:ascii="Arial" w:eastAsia="Times New Roman" w:hAnsi="Arial" w:cs="Arial"/>
        </w:rPr>
        <w:t>(dále jen „zákon o obcích“)</w:t>
      </w:r>
      <w:r w:rsidRPr="00315BC9">
        <w:rPr>
          <w:rFonts w:ascii="Arial" w:eastAsia="Arial Unicode MS" w:hAnsi="Arial" w:cs="Arial"/>
        </w:rPr>
        <w:t xml:space="preserve">, </w:t>
      </w:r>
      <w:r w:rsidRPr="00315BC9">
        <w:rPr>
          <w:rFonts w:ascii="Arial" w:hAnsi="Arial" w:cs="Arial"/>
          <w:b/>
        </w:rPr>
        <w:t>pozastavena účinnost obecně závazné vyhlášky obce Opatovice nad Labem č. 1/2022</w:t>
      </w:r>
      <w:r w:rsidRPr="00315BC9">
        <w:rPr>
          <w:rFonts w:ascii="Arial" w:hAnsi="Arial" w:cs="Arial"/>
        </w:rPr>
        <w:t xml:space="preserve">, </w:t>
      </w:r>
      <w:r w:rsidRPr="00315BC9">
        <w:rPr>
          <w:rFonts w:ascii="Arial" w:hAnsi="Arial" w:cs="Arial"/>
          <w:b/>
        </w:rPr>
        <w:t>o stanovení koeficientu pro výpočet daně z nemovitých věcí</w:t>
      </w:r>
      <w:r w:rsidRPr="00315BC9">
        <w:rPr>
          <w:rFonts w:ascii="Arial" w:hAnsi="Arial" w:cs="Arial"/>
        </w:rPr>
        <w:t>,</w:t>
      </w:r>
    </w:p>
    <w:p w14:paraId="4B7E2CD3" w14:textId="77777777" w:rsidR="007E72DC" w:rsidRPr="00315BC9" w:rsidRDefault="007E72DC" w:rsidP="007E72DC">
      <w:pPr>
        <w:pStyle w:val="Zkladntext2"/>
        <w:spacing w:line="276" w:lineRule="auto"/>
        <w:jc w:val="center"/>
        <w:rPr>
          <w:rFonts w:ascii="Arial" w:hAnsi="Arial" w:cs="Arial"/>
          <w:spacing w:val="40"/>
          <w:lang w:eastAsia="cs-CZ"/>
        </w:rPr>
      </w:pPr>
      <w:r w:rsidRPr="00315BC9">
        <w:rPr>
          <w:rFonts w:ascii="Arial" w:hAnsi="Arial" w:cs="Arial"/>
          <w:spacing w:val="40"/>
        </w:rPr>
        <w:t>takto:</w:t>
      </w:r>
    </w:p>
    <w:p w14:paraId="428A7252" w14:textId="77777777" w:rsidR="007E72DC" w:rsidRPr="00315BC9" w:rsidRDefault="007E72DC" w:rsidP="007E72DC">
      <w:pPr>
        <w:pStyle w:val="Odstavecseseznamem"/>
        <w:numPr>
          <w:ilvl w:val="0"/>
          <w:numId w:val="25"/>
        </w:numPr>
        <w:spacing w:after="120"/>
        <w:ind w:left="426" w:hanging="426"/>
        <w:jc w:val="both"/>
        <w:rPr>
          <w:rFonts w:ascii="Arial" w:eastAsia="Times New Roman" w:hAnsi="Arial" w:cs="Arial"/>
        </w:rPr>
      </w:pPr>
      <w:bookmarkStart w:id="1" w:name="_Hlk138248790"/>
      <w:r w:rsidRPr="00315BC9">
        <w:rPr>
          <w:rFonts w:ascii="Arial" w:eastAsia="Times New Roman" w:hAnsi="Arial" w:cs="Arial"/>
        </w:rPr>
        <w:t xml:space="preserve">Podle § 98 správního řádu s odkazem na § 97 odst. 3 správního řádu se </w:t>
      </w:r>
      <w:r w:rsidRPr="00315BC9">
        <w:rPr>
          <w:rFonts w:ascii="Arial" w:eastAsia="Times New Roman" w:hAnsi="Arial" w:cs="Arial"/>
          <w:b/>
          <w:bCs/>
        </w:rPr>
        <w:t>ve zkráceném přezkumném řízení</w:t>
      </w:r>
      <w:r w:rsidRPr="00315BC9">
        <w:rPr>
          <w:rFonts w:ascii="Arial" w:eastAsia="Times New Roman" w:hAnsi="Arial" w:cs="Arial"/>
        </w:rPr>
        <w:t xml:space="preserve"> rozhodnutí ministra vnitra ze dne 27. 6. 2023, č. j. </w:t>
      </w:r>
      <w:r w:rsidRPr="00315BC9">
        <w:rPr>
          <w:rFonts w:ascii="Arial" w:eastAsia="Arial Unicode MS" w:hAnsi="Arial" w:cs="Arial"/>
          <w:lang w:eastAsia="cs-CZ"/>
        </w:rPr>
        <w:t>MV-72457-3/SO-2023</w:t>
      </w:r>
      <w:r w:rsidRPr="00315BC9">
        <w:rPr>
          <w:rFonts w:ascii="Arial" w:eastAsia="Times New Roman" w:hAnsi="Arial" w:cs="Arial"/>
        </w:rPr>
        <w:t xml:space="preserve">, a rozhodnutí </w:t>
      </w:r>
      <w:r w:rsidRPr="00315BC9">
        <w:rPr>
          <w:rFonts w:ascii="Arial" w:eastAsia="Arial Unicode MS" w:hAnsi="Arial" w:cs="Arial"/>
          <w:lang w:eastAsia="cs-CZ"/>
        </w:rPr>
        <w:t>Ministerstva vnitra</w:t>
      </w:r>
      <w:r w:rsidRPr="00315BC9">
        <w:rPr>
          <w:rFonts w:ascii="Arial" w:eastAsia="Times New Roman" w:hAnsi="Arial" w:cs="Arial"/>
        </w:rPr>
        <w:t xml:space="preserve"> </w:t>
      </w:r>
      <w:r w:rsidRPr="00315BC9">
        <w:rPr>
          <w:rFonts w:ascii="Arial" w:eastAsia="Arial Unicode MS" w:hAnsi="Arial" w:cs="Arial"/>
          <w:lang w:eastAsia="cs-CZ"/>
        </w:rPr>
        <w:t>ze dne 14. 3. 2023, č. j. MV-172507-18/ODK-2022</w:t>
      </w:r>
      <w:r w:rsidRPr="00315BC9">
        <w:rPr>
          <w:rFonts w:ascii="Arial" w:eastAsia="Times New Roman" w:hAnsi="Arial" w:cs="Arial"/>
        </w:rPr>
        <w:t xml:space="preserve">, </w:t>
      </w:r>
      <w:r w:rsidRPr="00315BC9">
        <w:rPr>
          <w:rFonts w:ascii="Arial" w:eastAsia="Times New Roman" w:hAnsi="Arial" w:cs="Arial"/>
          <w:b/>
          <w:bCs/>
        </w:rPr>
        <w:t>zrušují</w:t>
      </w:r>
      <w:r w:rsidRPr="00315BC9">
        <w:rPr>
          <w:rFonts w:ascii="Arial" w:eastAsia="Times New Roman" w:hAnsi="Arial" w:cs="Arial"/>
        </w:rPr>
        <w:t>.</w:t>
      </w:r>
    </w:p>
    <w:p w14:paraId="54507B32" w14:textId="77777777" w:rsidR="007E72DC" w:rsidRPr="00315BC9" w:rsidRDefault="007E72DC" w:rsidP="007E72DC">
      <w:pPr>
        <w:pStyle w:val="Odstavecseseznamem"/>
        <w:numPr>
          <w:ilvl w:val="0"/>
          <w:numId w:val="25"/>
        </w:numPr>
        <w:spacing w:after="120"/>
        <w:ind w:left="426" w:hanging="426"/>
        <w:jc w:val="both"/>
        <w:rPr>
          <w:rFonts w:ascii="Arial" w:eastAsia="Times New Roman" w:hAnsi="Arial" w:cs="Arial"/>
          <w:b/>
          <w:bCs/>
        </w:rPr>
      </w:pPr>
      <w:r w:rsidRPr="00315BC9">
        <w:rPr>
          <w:rFonts w:ascii="Arial" w:eastAsia="Times New Roman" w:hAnsi="Arial" w:cs="Arial"/>
          <w:lang w:eastAsia="cs-CZ"/>
        </w:rPr>
        <w:t>Podle § 99 správního řádu se účinky rozhodnutí v přezkumném řízení určují tak, že nastávají ode dne právní moci přezkoumávaného rozhodnutí</w:t>
      </w:r>
      <w:bookmarkEnd w:id="1"/>
      <w:r w:rsidRPr="00315BC9">
        <w:rPr>
          <w:rFonts w:ascii="Arial" w:eastAsia="Times New Roman" w:hAnsi="Arial" w:cs="Arial"/>
          <w:lang w:eastAsia="cs-CZ"/>
        </w:rPr>
        <w:t>.</w:t>
      </w:r>
    </w:p>
    <w:p w14:paraId="2E930AFA" w14:textId="77777777" w:rsidR="007E72DC" w:rsidRPr="00315BC9" w:rsidRDefault="007E72DC" w:rsidP="007E72DC">
      <w:pPr>
        <w:spacing w:after="120"/>
        <w:jc w:val="center"/>
        <w:rPr>
          <w:rFonts w:ascii="Arial" w:eastAsia="Times New Roman" w:hAnsi="Arial" w:cs="Arial"/>
          <w:b/>
          <w:bCs/>
        </w:rPr>
      </w:pPr>
      <w:r w:rsidRPr="00315BC9">
        <w:rPr>
          <w:rFonts w:ascii="Arial" w:hAnsi="Arial" w:cs="Arial"/>
          <w:b/>
          <w:spacing w:val="60"/>
          <w:sz w:val="28"/>
          <w:szCs w:val="28"/>
        </w:rPr>
        <w:br w:type="page"/>
      </w:r>
      <w:r w:rsidRPr="00315BC9">
        <w:rPr>
          <w:rFonts w:ascii="Arial" w:hAnsi="Arial" w:cs="Arial"/>
          <w:b/>
          <w:spacing w:val="60"/>
          <w:sz w:val="28"/>
          <w:szCs w:val="28"/>
        </w:rPr>
        <w:lastRenderedPageBreak/>
        <w:t>ODŮVODNĚNÍ</w:t>
      </w:r>
    </w:p>
    <w:p w14:paraId="5A18DC2E" w14:textId="77777777" w:rsidR="007E72DC" w:rsidRPr="00315BC9" w:rsidRDefault="007E72DC" w:rsidP="007E72DC">
      <w:pPr>
        <w:autoSpaceDE w:val="0"/>
        <w:autoSpaceDN w:val="0"/>
        <w:adjustRightInd w:val="0"/>
        <w:spacing w:after="120"/>
        <w:ind w:firstLine="709"/>
        <w:jc w:val="both"/>
        <w:rPr>
          <w:rFonts w:ascii="Arial" w:hAnsi="Arial" w:cs="Arial"/>
          <w:lang w:eastAsia="cs-CZ"/>
        </w:rPr>
      </w:pPr>
      <w:r w:rsidRPr="00315BC9">
        <w:rPr>
          <w:rFonts w:ascii="Arial" w:hAnsi="Arial" w:cs="Arial"/>
          <w:lang w:eastAsia="cs-CZ"/>
        </w:rPr>
        <w:t>Zastupitelstvo obce Opatovice nad Labem se na svém zasedání konaném dne 22. 9. 2022 usneslo vydat na základě § 12 zákona č. 338/1992 Sb., o dani z nemovitých věcí, ve znění pozdějších předpisů (dále jen „zákon o dani z nemovitých věcí“), obecně závaznou vyhlášku č. 1/2022, o stanovení koeficientu pro výpočet daně z nemovitých věcí (dále jen „obecně závazná vyhláška“). Předmětná obecně závazná vyhláška byla dne 26. 9. 2022 vyhlášena ve Sbírce právních předpisů územních samosprávných celků a některých správních úřadů (účinnosti nabyla dnem 1. 1. 2023). Přípisem ze dne 7. 10. 2022 Ministerstvo vnitra obci sdělilo, že obecně závazná vyhláška byla shledána v rozporu se zákonem.</w:t>
      </w:r>
    </w:p>
    <w:p w14:paraId="06C3B5DE" w14:textId="77777777" w:rsidR="007E72DC" w:rsidRPr="00315BC9" w:rsidRDefault="007E72DC" w:rsidP="007E72DC">
      <w:pPr>
        <w:autoSpaceDE w:val="0"/>
        <w:autoSpaceDN w:val="0"/>
        <w:adjustRightInd w:val="0"/>
        <w:spacing w:after="120"/>
        <w:ind w:firstLine="709"/>
        <w:jc w:val="both"/>
        <w:rPr>
          <w:rFonts w:ascii="Arial" w:hAnsi="Arial" w:cs="Arial"/>
          <w:lang w:eastAsia="cs-CZ"/>
        </w:rPr>
      </w:pPr>
      <w:r w:rsidRPr="00315BC9">
        <w:rPr>
          <w:rFonts w:ascii="Arial" w:hAnsi="Arial" w:cs="Arial"/>
          <w:lang w:eastAsia="cs-CZ"/>
        </w:rPr>
        <w:t>Jak bylo zjištěno z obsahu obecně závazné vyhlášky, tak obec Opatovice nad Labem v čl. 2 přistoupila na základě možnosti dané § 12 zákona o dani nemovitých věcí k zavedení nejvyššího místního koeficientu „5“, a to „v části obce“ vymezené pozemky s parcelními čísly. Součástí obecně závazné vyhlášky nebylo doprovodné grafické znázornění takto nově vytvořené „části obce“ na mapovém podkladě, z něhož by bylo na první pohled zřejmé, jaké konkrétní lokality, resp. jakého konkrétního celistvého území – území části obce se obecně závazná vyhláška týká</w:t>
      </w:r>
      <w:r>
        <w:rPr>
          <w:rFonts w:ascii="Arial" w:hAnsi="Arial" w:cs="Arial"/>
          <w:lang w:eastAsia="cs-CZ"/>
        </w:rPr>
        <w:t xml:space="preserve"> (</w:t>
      </w:r>
      <w:r w:rsidRPr="00383182">
        <w:rPr>
          <w:rFonts w:ascii="Arial" w:eastAsia="Times New Roman" w:hAnsi="Arial" w:cs="Arial"/>
          <w:lang w:eastAsia="cs-CZ"/>
        </w:rPr>
        <w:t xml:space="preserve">na základě ztotožnění jednotlivých parcelních čísel pozemků uvedených v čl. 2 obecně závazné vyhlášky v katastru nemovitostí </w:t>
      </w:r>
      <w:r>
        <w:rPr>
          <w:rFonts w:ascii="Arial" w:eastAsia="Times New Roman" w:hAnsi="Arial" w:cs="Arial"/>
          <w:lang w:eastAsia="cs-CZ"/>
        </w:rPr>
        <w:t>bylo</w:t>
      </w:r>
      <w:r w:rsidRPr="00383182">
        <w:rPr>
          <w:rFonts w:ascii="Arial" w:eastAsia="Times New Roman" w:hAnsi="Arial" w:cs="Arial"/>
          <w:lang w:eastAsia="cs-CZ"/>
        </w:rPr>
        <w:t xml:space="preserve"> zjištěno, že pozemky jsou ve vlastnictví společnosti Elektrárny Opatovice, a. s., list vlastnictví č. 10726 v</w:t>
      </w:r>
      <w:r>
        <w:rPr>
          <w:rFonts w:ascii="Arial" w:eastAsia="Times New Roman" w:hAnsi="Arial" w:cs="Arial"/>
          <w:lang w:eastAsia="cs-CZ"/>
        </w:rPr>
        <w:t> </w:t>
      </w:r>
      <w:r w:rsidRPr="00383182">
        <w:rPr>
          <w:rFonts w:ascii="Arial" w:eastAsia="Times New Roman" w:hAnsi="Arial" w:cs="Arial"/>
          <w:lang w:eastAsia="cs-CZ"/>
        </w:rPr>
        <w:t>katastrálním území Opatovice nad Labem</w:t>
      </w:r>
      <w:r>
        <w:rPr>
          <w:rFonts w:ascii="Arial" w:eastAsia="Times New Roman" w:hAnsi="Arial" w:cs="Arial"/>
          <w:lang w:eastAsia="cs-CZ"/>
        </w:rPr>
        <w:t>)</w:t>
      </w:r>
      <w:r w:rsidRPr="00315BC9">
        <w:rPr>
          <w:rFonts w:ascii="Arial" w:hAnsi="Arial" w:cs="Arial"/>
          <w:lang w:eastAsia="cs-CZ"/>
        </w:rPr>
        <w:t>.</w:t>
      </w:r>
    </w:p>
    <w:p w14:paraId="1D24C15E"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Times New Roman" w:hAnsi="Arial" w:cs="Arial"/>
          <w:lang w:eastAsia="cs-CZ"/>
        </w:rPr>
        <w:t>Obec Opatovice nad Labem byla v předmětném právním posouzení požádána ve lhůtě 15 dnů ode dne doručení právního posouzení o sdělení, zda a v jakém termínu je případně ochotna zjednat nápravu vytknuté nezákonnosti. Na výše uvedené vyrozumění reagovala obec Opatovice nad Labem vyjádřením starosty ze dne 21. 10. 2022, v němž vyslovila nesouhlas se závěry Ministerstva vnitra vyjádřenými v posouzení obecně závazné vyhlášky.</w:t>
      </w:r>
    </w:p>
    <w:p w14:paraId="261B0413"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Times New Roman" w:hAnsi="Arial" w:cs="Arial"/>
          <w:lang w:eastAsia="cs-CZ"/>
        </w:rPr>
        <w:t>Dne 14. 3. 2023 vydal správní orgán I. stupně rozhodnutí č. j. MV-172507-18/ODK-2022 (dále jen „napadené rozhodnutí“), jehož výrokem I. byla podle § 123 odst. 1 zákona o obcích pozastavena účinnost posuzované obecně závazné vyhlášky, a výrokem II. byla obci stanovena lhůta ke zjednání nápravy 15 dnů od doručení napadeného rozhodnutí. Napadené rozhodnutí bylo obci doručeno dne 14. 3. 2023; zmocněnému zástupci obce dne 20. 3. 2023.</w:t>
      </w:r>
      <w:r>
        <w:rPr>
          <w:rFonts w:ascii="Arial" w:eastAsia="Times New Roman" w:hAnsi="Arial" w:cs="Arial"/>
          <w:lang w:eastAsia="cs-CZ"/>
        </w:rPr>
        <w:t xml:space="preserve"> </w:t>
      </w:r>
      <w:r w:rsidRPr="00315BC9">
        <w:rPr>
          <w:rFonts w:ascii="Arial" w:eastAsia="Times New Roman" w:hAnsi="Arial" w:cs="Arial"/>
          <w:lang w:eastAsia="cs-CZ"/>
        </w:rPr>
        <w:t>Dne 4. 4. 2023</w:t>
      </w:r>
      <w:r>
        <w:rPr>
          <w:rFonts w:ascii="Arial" w:eastAsia="Times New Roman" w:hAnsi="Arial" w:cs="Arial"/>
          <w:lang w:eastAsia="cs-CZ"/>
        </w:rPr>
        <w:t xml:space="preserve"> </w:t>
      </w:r>
      <w:r w:rsidRPr="00315BC9">
        <w:rPr>
          <w:rFonts w:ascii="Arial" w:eastAsia="Times New Roman" w:hAnsi="Arial" w:cs="Arial"/>
          <w:lang w:eastAsia="cs-CZ"/>
        </w:rPr>
        <w:t xml:space="preserve">byl proti napadenému rozhodnutí </w:t>
      </w:r>
      <w:r>
        <w:rPr>
          <w:rFonts w:ascii="Arial" w:eastAsia="Times New Roman" w:hAnsi="Arial" w:cs="Arial"/>
          <w:lang w:eastAsia="cs-CZ"/>
        </w:rPr>
        <w:t xml:space="preserve">podán </w:t>
      </w:r>
      <w:r w:rsidRPr="00315BC9">
        <w:rPr>
          <w:rFonts w:ascii="Arial" w:eastAsia="Times New Roman" w:hAnsi="Arial" w:cs="Arial"/>
          <w:lang w:eastAsia="cs-CZ"/>
        </w:rPr>
        <w:t>včasný rozklad.</w:t>
      </w:r>
    </w:p>
    <w:p w14:paraId="757806F8" w14:textId="77777777" w:rsidR="007E72DC" w:rsidRDefault="007E72DC" w:rsidP="007E72DC">
      <w:pPr>
        <w:spacing w:after="120"/>
        <w:ind w:firstLine="709"/>
        <w:jc w:val="both"/>
        <w:rPr>
          <w:rFonts w:ascii="Arial" w:hAnsi="Arial" w:cs="Arial"/>
          <w:iCs/>
        </w:rPr>
      </w:pPr>
      <w:r w:rsidRPr="00315BC9">
        <w:rPr>
          <w:rFonts w:ascii="Arial" w:hAnsi="Arial" w:cs="Arial"/>
        </w:rPr>
        <w:t xml:space="preserve">Ministr vnitra v rozhodnutí </w:t>
      </w:r>
      <w:r w:rsidRPr="00315BC9">
        <w:rPr>
          <w:rFonts w:ascii="Arial" w:eastAsia="Arial Unicode MS" w:hAnsi="Arial" w:cs="Arial"/>
          <w:lang w:eastAsia="cs-CZ"/>
        </w:rPr>
        <w:t>ze</w:t>
      </w:r>
      <w:r>
        <w:rPr>
          <w:rFonts w:ascii="Arial" w:eastAsia="Arial Unicode MS" w:hAnsi="Arial" w:cs="Arial"/>
          <w:lang w:eastAsia="cs-CZ"/>
        </w:rPr>
        <w:t xml:space="preserve"> </w:t>
      </w:r>
      <w:r w:rsidRPr="00315BC9">
        <w:rPr>
          <w:rFonts w:ascii="Arial" w:eastAsia="Arial Unicode MS" w:hAnsi="Arial" w:cs="Arial"/>
          <w:lang w:eastAsia="cs-CZ"/>
        </w:rPr>
        <w:t xml:space="preserve">dne 27. 6. 2023, č. j. MV-72457-3/SO-2023, mj. </w:t>
      </w:r>
      <w:r w:rsidRPr="00315BC9">
        <w:rPr>
          <w:rFonts w:ascii="Arial" w:hAnsi="Arial" w:cs="Arial"/>
        </w:rPr>
        <w:t xml:space="preserve">konstatoval, že pokud je v obecně závazné vyhlášce odkázáno na celistvé území jednotlivé části obce vzniklé podle zákona o obcích a řádně zapsané v registru územní identifikace, nebo pokud je ohledně vymezení území jednotlivé části obce odkázáno na jinou existující celistvou územní jednotku jakou je například katastrální území, je předmět působení obecně závazné vyhlášky vymezen jednoznačně a plně v souladu s principem právní jistoty a s principem předvídatelnosti působení práva vůči jeho adresátům. Vymezení pomocí výčtu parcelních čísel pozemků však tyto požadavky nesplňuje. </w:t>
      </w:r>
      <w:r w:rsidRPr="00315BC9">
        <w:rPr>
          <w:rFonts w:ascii="Arial" w:hAnsi="Arial" w:cs="Arial"/>
          <w:iCs/>
        </w:rPr>
        <w:t>Z výše uvedených důvodů ministr vnitra neshledal předmětné ustanovení čl. 2 obecně závazné vyhlášky</w:t>
      </w:r>
      <w:r w:rsidRPr="00315BC9">
        <w:rPr>
          <w:rFonts w:ascii="Arial" w:hAnsi="Arial" w:cs="Arial"/>
        </w:rPr>
        <w:t xml:space="preserve"> </w:t>
      </w:r>
      <w:r w:rsidRPr="00315BC9">
        <w:rPr>
          <w:rFonts w:ascii="Arial" w:hAnsi="Arial" w:cs="Arial"/>
          <w:iCs/>
        </w:rPr>
        <w:t>v souladu s principem právní jistoty a ani s principem předvídatelnosti působení práva vůči</w:t>
      </w:r>
      <w:r w:rsidRPr="00315BC9">
        <w:rPr>
          <w:rFonts w:ascii="Arial" w:hAnsi="Arial" w:cs="Arial"/>
        </w:rPr>
        <w:t xml:space="preserve"> </w:t>
      </w:r>
      <w:r w:rsidRPr="00315BC9">
        <w:rPr>
          <w:rFonts w:ascii="Arial" w:hAnsi="Arial" w:cs="Arial"/>
          <w:iCs/>
        </w:rPr>
        <w:t>jeho adresátům.</w:t>
      </w:r>
      <w:r w:rsidRPr="00315BC9">
        <w:rPr>
          <w:rFonts w:ascii="Arial" w:hAnsi="Arial" w:cs="Arial"/>
        </w:rPr>
        <w:t xml:space="preserve"> </w:t>
      </w:r>
      <w:r w:rsidRPr="00315BC9">
        <w:rPr>
          <w:rFonts w:ascii="Arial" w:hAnsi="Arial" w:cs="Arial"/>
          <w:iCs/>
        </w:rPr>
        <w:t>Vzhledem k výše uvedenému ministr vnitra podle § 152 odst. 6 písm. b) správního řádu rozklad zamítnul.</w:t>
      </w:r>
    </w:p>
    <w:p w14:paraId="18B04F88" w14:textId="77777777" w:rsidR="007E72DC" w:rsidRPr="00315BC9" w:rsidRDefault="007E72DC" w:rsidP="007E72DC">
      <w:pPr>
        <w:spacing w:after="120"/>
        <w:ind w:firstLine="709"/>
        <w:jc w:val="both"/>
        <w:rPr>
          <w:rFonts w:ascii="Arial" w:hAnsi="Arial" w:cs="Arial"/>
        </w:rPr>
      </w:pPr>
      <w:r>
        <w:rPr>
          <w:rFonts w:ascii="Arial" w:eastAsia="Times New Roman" w:hAnsi="Arial" w:cs="Arial"/>
        </w:rPr>
        <w:t>Uvedené r</w:t>
      </w:r>
      <w:r w:rsidRPr="00E4748B">
        <w:rPr>
          <w:rFonts w:ascii="Arial" w:eastAsia="Times New Roman" w:hAnsi="Arial" w:cs="Arial"/>
        </w:rPr>
        <w:t>ozhodnutí ministra vnitra nabylo právní moci dnem 10. 7. 2023</w:t>
      </w:r>
      <w:r>
        <w:rPr>
          <w:rFonts w:ascii="Arial" w:eastAsia="Times New Roman" w:hAnsi="Arial" w:cs="Arial"/>
        </w:rPr>
        <w:t>.</w:t>
      </w:r>
    </w:p>
    <w:p w14:paraId="3EE7DC90"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hAnsi="Arial" w:cs="Arial"/>
        </w:rPr>
        <w:t>Ministr vnitra však musí konstatovat, že po zveřejnění n</w:t>
      </w:r>
      <w:r w:rsidRPr="00315BC9">
        <w:rPr>
          <w:rFonts w:ascii="Arial" w:eastAsia="Times New Roman" w:hAnsi="Arial" w:cs="Arial"/>
          <w:lang w:eastAsia="cs-CZ"/>
        </w:rPr>
        <w:t xml:space="preserve">álezu Ústavního soudu ze dne 18. 7. 2023, sp. zn. Pl. ÚS 24/23, </w:t>
      </w:r>
      <w:r w:rsidRPr="00315BC9">
        <w:rPr>
          <w:rFonts w:ascii="Arial" w:hAnsi="Arial" w:cs="Arial"/>
        </w:rPr>
        <w:t xml:space="preserve">následně shledal podmínky pro přezkoumání svého již pravomocného rozhodnutí </w:t>
      </w:r>
      <w:r w:rsidRPr="00315BC9">
        <w:rPr>
          <w:rFonts w:ascii="Arial" w:eastAsia="Times New Roman" w:hAnsi="Arial" w:cs="Arial"/>
        </w:rPr>
        <w:t xml:space="preserve">ze dne 27. 6. 2023, č. j. </w:t>
      </w:r>
      <w:r w:rsidRPr="00315BC9">
        <w:rPr>
          <w:rFonts w:ascii="Arial" w:eastAsia="Arial Unicode MS" w:hAnsi="Arial" w:cs="Arial"/>
          <w:lang w:eastAsia="cs-CZ"/>
        </w:rPr>
        <w:t xml:space="preserve">MV-72457-3/SO-2023, </w:t>
      </w:r>
      <w:r w:rsidRPr="00315BC9">
        <w:rPr>
          <w:rFonts w:ascii="Arial" w:hAnsi="Arial" w:cs="Arial"/>
        </w:rPr>
        <w:t xml:space="preserve">ve zkráceném </w:t>
      </w:r>
      <w:r w:rsidRPr="00315BC9">
        <w:rPr>
          <w:rFonts w:ascii="Arial" w:hAnsi="Arial" w:cs="Arial"/>
        </w:rPr>
        <w:lastRenderedPageBreak/>
        <w:t xml:space="preserve">přezkumném řízení podle § 98 správního řádu, neboť </w:t>
      </w:r>
      <w:r w:rsidRPr="00315BC9">
        <w:rPr>
          <w:rFonts w:ascii="Arial" w:eastAsia="Times New Roman" w:hAnsi="Arial" w:cs="Arial"/>
          <w:lang w:eastAsia="cs-CZ"/>
        </w:rPr>
        <w:t>Ústavní soud v obdobné věci zamítl návrh Ministerstva vnitra na zrušení čl. 2 a přílohy č. 1 obecně závazné vyhlášky obce Řepov č. 1/2021, o stanovení koeficientů pro výpočet daně z nemovitých věcí.</w:t>
      </w:r>
    </w:p>
    <w:p w14:paraId="60055714"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Times New Roman" w:hAnsi="Arial" w:cs="Arial"/>
          <w:lang w:eastAsia="cs-CZ"/>
        </w:rPr>
        <w:t>Ministerstvo vnitra se domáhalo zrušení části výše uvedené obecně závazné vyhlášky, a to pro rozpor s právem svobodně podnikat a s pravidlem, podle něhož lze daně a poplatky ukládat jen na základě zákona. Ministerstvo vnitra rovněž namítalo rozpor s § 12 a § 11 odst. 3 písm. b) zákona č. 338/1992 Sb., o dani z nemovitých věcí, ve znění pozdějších předpisů (dále jen „zákon o dani z nemovitých věcí“). Obec Řepov totiž stanovila touto obecně závaznou vyhláškou místní koeficient, kterým se násobí daň za jednotlivé druhy pozemků, zdanitelné stavby nebo jednotky, ve výši 5, a to pro části obce v rozsahu parcelních čísel pozemků specifikovaných v příloze č. 1 obecně závazné vyhlášky. Konkrétně se jednalo o logistické a průmyslové areály v katastrálním území Řepova.</w:t>
      </w:r>
    </w:p>
    <w:p w14:paraId="47EA8124"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Times New Roman" w:hAnsi="Arial" w:cs="Arial"/>
          <w:lang w:eastAsia="cs-CZ"/>
        </w:rPr>
        <w:t>Ústavní soud návrh Ministerstva vnitra zamítl. Konstatoval, že podstata sporu spočívá ve výkladu pojmu „</w:t>
      </w:r>
      <w:r w:rsidRPr="00315BC9">
        <w:rPr>
          <w:rFonts w:ascii="Arial" w:eastAsia="Times New Roman" w:hAnsi="Arial" w:cs="Arial"/>
          <w:i/>
          <w:iCs/>
          <w:lang w:eastAsia="cs-CZ"/>
        </w:rPr>
        <w:t>jednotlivá část obce</w:t>
      </w:r>
      <w:r w:rsidRPr="00315BC9">
        <w:rPr>
          <w:rFonts w:ascii="Arial" w:eastAsia="Times New Roman" w:hAnsi="Arial" w:cs="Arial"/>
          <w:lang w:eastAsia="cs-CZ"/>
        </w:rPr>
        <w:t>“ (viz § 12 zákona o dani z nemovitých věcí). Ministerstvo vnitra zastávalo konzistentně názor, že tento pojem nelze vztahovat na vybrané prostory a objekty konkrétních výrobních a průmyslových závodů, logistických center a dalších podnikatelských areálů, určené pouze pomocí parcelních čísel pozemků, nýbrž že se musí jednat o souvislé části obce (osada, městská čtvrť apod.). Takovému výkladu však Ústavní soud nepřisvědčil;</w:t>
      </w:r>
      <w:r w:rsidRPr="00315BC9">
        <w:t xml:space="preserve"> </w:t>
      </w:r>
      <w:r w:rsidRPr="00315BC9">
        <w:rPr>
          <w:rFonts w:ascii="Arial" w:eastAsia="Times New Roman" w:hAnsi="Arial" w:cs="Arial"/>
          <w:lang w:eastAsia="cs-CZ"/>
        </w:rPr>
        <w:t>pojem „</w:t>
      </w:r>
      <w:r w:rsidRPr="00315BC9">
        <w:rPr>
          <w:rFonts w:ascii="Arial" w:eastAsia="Times New Roman" w:hAnsi="Arial" w:cs="Arial"/>
          <w:i/>
          <w:iCs/>
          <w:lang w:eastAsia="cs-CZ"/>
        </w:rPr>
        <w:t>jednotlivá část obce</w:t>
      </w:r>
      <w:r w:rsidRPr="00315BC9">
        <w:rPr>
          <w:rFonts w:ascii="Arial" w:eastAsia="Times New Roman" w:hAnsi="Arial" w:cs="Arial"/>
          <w:lang w:eastAsia="cs-CZ"/>
        </w:rPr>
        <w:t>“ je podle jeho právního názoru třeba vyložit tak, že obce mohou zatížit vyšší daní z nemovitých věcí i jen konkrétně označené nemovitosti.</w:t>
      </w:r>
    </w:p>
    <w:p w14:paraId="0A692AFB"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Times New Roman" w:hAnsi="Arial" w:cs="Arial"/>
          <w:lang w:eastAsia="cs-CZ"/>
        </w:rPr>
        <w:t xml:space="preserve">Podle § 98 správního řádu </w:t>
      </w:r>
      <w:r w:rsidRPr="00315BC9">
        <w:rPr>
          <w:rFonts w:ascii="Arial" w:eastAsia="Times New Roman" w:hAnsi="Arial" w:cs="Arial"/>
          <w:i/>
          <w:iCs/>
          <w:lang w:eastAsia="cs-CZ"/>
        </w:rPr>
        <w:t>„Jestliže je porušení právního předpisu zjevné ze spisového materiálu, jsou splněny ostatní podmínky pro přezkumné řízení a není zapotřebí vysvětlení účastníků, může příslušný správní orgán provést zkrácené přezkumné řízení. Dokazování se neprovádí. Prvním úkonem správního orgánu při zkráceném přezkumném řízení je vydání rozhodnutí podle § 97 odst. 3.“</w:t>
      </w:r>
      <w:r w:rsidRPr="00315BC9">
        <w:rPr>
          <w:rFonts w:ascii="Arial" w:eastAsia="Times New Roman" w:hAnsi="Arial" w:cs="Arial"/>
          <w:lang w:eastAsia="cs-CZ"/>
        </w:rPr>
        <w:t>.</w:t>
      </w:r>
    </w:p>
    <w:p w14:paraId="7FA29E0B" w14:textId="77777777" w:rsidR="007E72DC" w:rsidRPr="00315BC9" w:rsidRDefault="007E72DC" w:rsidP="007E72DC">
      <w:pPr>
        <w:spacing w:after="120"/>
        <w:ind w:firstLine="709"/>
        <w:jc w:val="both"/>
        <w:rPr>
          <w:rFonts w:ascii="Arial" w:eastAsia="Times New Roman" w:hAnsi="Arial" w:cs="Arial"/>
          <w:lang w:eastAsia="cs-CZ"/>
        </w:rPr>
      </w:pPr>
      <w:r w:rsidRPr="00315BC9">
        <w:rPr>
          <w:rFonts w:ascii="Arial" w:eastAsia="Arial Unicode MS" w:hAnsi="Arial" w:cs="Arial"/>
          <w:lang w:eastAsia="cs-CZ"/>
        </w:rPr>
        <w:t xml:space="preserve">Ministr vnitra vzhledem k výše uvedenému nemohl rozhodnout jinak, než ve zkráceném přezkumném řízení </w:t>
      </w:r>
      <w:r w:rsidRPr="00315BC9">
        <w:rPr>
          <w:rFonts w:ascii="Arial" w:hAnsi="Arial" w:cs="Arial"/>
        </w:rPr>
        <w:t>podle § 98 správního řádu s odkazem na § 97 odst. 3 správního řádu ve zkráceném přezkumném řízení své rozhodnutí ze dne 27. 6. 2023, č. j. MV-72457-3/SO-2023, a rozhodnutí Ministerstva vnitra ze dne 14. 3. 2023, č. j. MV-172507-18/ODK-2022, zrušit. Účinky tohoto rozhodnutí ve zkráceném přezkumném řízení se určují tak, že nastávají ode dne právní moci přezkoumávaného rozhodnutí.</w:t>
      </w:r>
    </w:p>
    <w:p w14:paraId="1C961B69" w14:textId="77777777" w:rsidR="007E72DC" w:rsidRPr="00315BC9" w:rsidRDefault="007E72DC" w:rsidP="007E72DC">
      <w:pPr>
        <w:spacing w:after="120"/>
        <w:jc w:val="both"/>
        <w:rPr>
          <w:rFonts w:ascii="Arial" w:hAnsi="Arial" w:cs="Arial"/>
        </w:rPr>
      </w:pPr>
    </w:p>
    <w:p w14:paraId="45A65819" w14:textId="77777777" w:rsidR="007E72DC" w:rsidRPr="00315BC9" w:rsidRDefault="007E72DC" w:rsidP="007E72DC">
      <w:pPr>
        <w:spacing w:after="120"/>
        <w:jc w:val="center"/>
        <w:rPr>
          <w:rFonts w:ascii="Arial" w:eastAsia="Times New Roman" w:hAnsi="Arial" w:cs="Arial"/>
          <w:sz w:val="28"/>
          <w:szCs w:val="28"/>
          <w:lang w:eastAsia="cs-CZ"/>
        </w:rPr>
      </w:pPr>
      <w:r w:rsidRPr="00315BC9">
        <w:rPr>
          <w:rFonts w:ascii="Arial" w:hAnsi="Arial" w:cs="Arial"/>
          <w:b/>
          <w:bCs/>
          <w:spacing w:val="60"/>
          <w:sz w:val="28"/>
          <w:szCs w:val="28"/>
        </w:rPr>
        <w:t>POUČENÍ</w:t>
      </w:r>
    </w:p>
    <w:p w14:paraId="198E7F77" w14:textId="77777777" w:rsidR="007E72DC" w:rsidRPr="00315BC9" w:rsidRDefault="007E72DC" w:rsidP="007E72DC">
      <w:pPr>
        <w:pStyle w:val="Import6"/>
        <w:tabs>
          <w:tab w:val="left" w:pos="708"/>
        </w:tabs>
        <w:spacing w:after="120" w:line="276" w:lineRule="auto"/>
        <w:ind w:left="0" w:firstLine="709"/>
        <w:jc w:val="both"/>
        <w:rPr>
          <w:rFonts w:ascii="Arial" w:hAnsi="Arial" w:cs="Arial"/>
          <w:sz w:val="22"/>
          <w:szCs w:val="22"/>
        </w:rPr>
      </w:pPr>
      <w:r w:rsidRPr="00315BC9">
        <w:rPr>
          <w:rFonts w:ascii="Arial" w:hAnsi="Arial" w:cs="Arial"/>
          <w:sz w:val="22"/>
          <w:szCs w:val="22"/>
        </w:rPr>
        <w:t>Proti tomuto rozhodnutí lze podat podle § 152 odst. 1 správního řádu ve spojení s § 83 odst. 1 téhož zákona k ministru vnitra rozklad, a to ve lhůtě 15 dnů ode dne oznámení tohoto rozhodnutí. O rozkladu rozhoduje ministr vnitra.</w:t>
      </w:r>
    </w:p>
    <w:p w14:paraId="0ABCBD8B" w14:textId="77777777" w:rsidR="007E72DC" w:rsidRPr="00315BC9" w:rsidRDefault="007E72DC" w:rsidP="007E72DC">
      <w:pPr>
        <w:tabs>
          <w:tab w:val="left" w:pos="0"/>
          <w:tab w:val="left" w:pos="567"/>
        </w:tabs>
        <w:spacing w:line="240" w:lineRule="auto"/>
        <w:jc w:val="both"/>
        <w:rPr>
          <w:rFonts w:ascii="Arial" w:eastAsia="Times New Roman" w:hAnsi="Arial" w:cs="Arial"/>
          <w:lang w:eastAsia="cs-CZ"/>
        </w:rPr>
      </w:pPr>
    </w:p>
    <w:p w14:paraId="05C031A6" w14:textId="77777777" w:rsidR="007E72DC" w:rsidRPr="00315BC9" w:rsidRDefault="007E72DC" w:rsidP="007E72DC">
      <w:pPr>
        <w:tabs>
          <w:tab w:val="left" w:pos="0"/>
          <w:tab w:val="left" w:pos="567"/>
        </w:tabs>
        <w:spacing w:line="240" w:lineRule="auto"/>
        <w:jc w:val="both"/>
        <w:rPr>
          <w:rFonts w:ascii="Arial" w:eastAsia="Times New Roman" w:hAnsi="Arial" w:cs="Arial"/>
          <w:lang w:eastAsia="cs-CZ"/>
        </w:rPr>
      </w:pPr>
    </w:p>
    <w:p w14:paraId="393D70F7" w14:textId="77777777" w:rsidR="007E72DC" w:rsidRPr="00315BC9" w:rsidRDefault="007E72DC" w:rsidP="007E72DC">
      <w:pPr>
        <w:tabs>
          <w:tab w:val="left" w:pos="0"/>
          <w:tab w:val="left" w:pos="567"/>
        </w:tabs>
        <w:spacing w:line="240" w:lineRule="auto"/>
        <w:jc w:val="both"/>
        <w:rPr>
          <w:rFonts w:ascii="Arial" w:eastAsia="Times New Roman" w:hAnsi="Arial" w:cs="Arial"/>
          <w:b/>
          <w:lang w:eastAsia="cs-CZ"/>
        </w:rPr>
      </w:pPr>
    </w:p>
    <w:p w14:paraId="05238E66" w14:textId="77777777" w:rsidR="007E72DC" w:rsidRPr="00315BC9" w:rsidRDefault="007E72DC" w:rsidP="007E72DC">
      <w:pPr>
        <w:tabs>
          <w:tab w:val="left" w:pos="0"/>
          <w:tab w:val="left" w:pos="567"/>
        </w:tabs>
        <w:spacing w:line="240" w:lineRule="auto"/>
        <w:ind w:left="5664"/>
        <w:jc w:val="both"/>
        <w:rPr>
          <w:rFonts w:ascii="Arial" w:eastAsia="Times New Roman" w:hAnsi="Arial" w:cs="Arial"/>
          <w:lang w:eastAsia="cs-CZ"/>
        </w:rPr>
      </w:pPr>
      <w:r w:rsidRPr="00315BC9">
        <w:rPr>
          <w:rFonts w:ascii="Arial" w:eastAsia="Times New Roman" w:hAnsi="Arial" w:cs="Arial"/>
          <w:b/>
          <w:lang w:eastAsia="cs-CZ"/>
        </w:rPr>
        <w:t>Mgr. Bc. Vít Rakušan</w:t>
      </w:r>
    </w:p>
    <w:p w14:paraId="401A8A4A" w14:textId="77777777" w:rsidR="007E72DC" w:rsidRPr="00315BC9" w:rsidRDefault="007E72DC" w:rsidP="007E72DC">
      <w:pPr>
        <w:pageBreakBefore/>
        <w:tabs>
          <w:tab w:val="left" w:pos="567"/>
        </w:tabs>
        <w:spacing w:after="120"/>
        <w:jc w:val="both"/>
        <w:rPr>
          <w:rFonts w:ascii="Arial" w:eastAsia="Times New Roman" w:hAnsi="Arial" w:cs="Arial"/>
          <w:b/>
          <w:lang w:eastAsia="cs-CZ"/>
        </w:rPr>
      </w:pPr>
      <w:r w:rsidRPr="00315BC9">
        <w:rPr>
          <w:rFonts w:ascii="Arial" w:eastAsia="Times New Roman" w:hAnsi="Arial" w:cs="Arial"/>
          <w:b/>
          <w:lang w:eastAsia="cs-CZ"/>
        </w:rPr>
        <w:lastRenderedPageBreak/>
        <w:t>Rozdělovník:</w:t>
      </w:r>
    </w:p>
    <w:p w14:paraId="55380B4E" w14:textId="77777777" w:rsidR="007E72DC" w:rsidRPr="00315BC9" w:rsidRDefault="007E72DC" w:rsidP="007E72DC">
      <w:pPr>
        <w:numPr>
          <w:ilvl w:val="0"/>
          <w:numId w:val="24"/>
        </w:numPr>
        <w:tabs>
          <w:tab w:val="left" w:pos="284"/>
        </w:tabs>
        <w:spacing w:after="120"/>
        <w:ind w:left="426" w:hanging="426"/>
        <w:jc w:val="both"/>
        <w:rPr>
          <w:rFonts w:ascii="Arial" w:eastAsia="Times New Roman" w:hAnsi="Arial" w:cs="Arial"/>
          <w:lang w:eastAsia="cs-CZ"/>
        </w:rPr>
      </w:pPr>
      <w:r w:rsidRPr="00315BC9">
        <w:rPr>
          <w:rFonts w:ascii="Arial" w:eastAsia="Times New Roman" w:hAnsi="Arial" w:cs="Arial"/>
          <w:lang w:eastAsia="cs-CZ"/>
        </w:rPr>
        <w:t xml:space="preserve">Mgr. et Mgr. Michal Bouška, advokát </w:t>
      </w:r>
      <w:r w:rsidRPr="00315BC9">
        <w:rPr>
          <w:rFonts w:ascii="Arial" w:eastAsia="Times New Roman" w:hAnsi="Arial" w:cs="Arial"/>
          <w:i/>
          <w:iCs/>
          <w:lang w:eastAsia="cs-CZ"/>
        </w:rPr>
        <w:t>(odeslat do datové schránky)</w:t>
      </w:r>
    </w:p>
    <w:p w14:paraId="621681AE" w14:textId="77777777" w:rsidR="007E72DC" w:rsidRPr="00315BC9" w:rsidRDefault="007E72DC" w:rsidP="007E72DC">
      <w:pPr>
        <w:numPr>
          <w:ilvl w:val="0"/>
          <w:numId w:val="24"/>
        </w:numPr>
        <w:tabs>
          <w:tab w:val="left" w:pos="284"/>
        </w:tabs>
        <w:spacing w:after="120"/>
        <w:ind w:left="426" w:hanging="426"/>
        <w:jc w:val="both"/>
        <w:rPr>
          <w:rFonts w:ascii="Arial" w:eastAsia="Times New Roman" w:hAnsi="Arial" w:cs="Arial"/>
          <w:i/>
          <w:iCs/>
          <w:lang w:eastAsia="cs-CZ"/>
        </w:rPr>
      </w:pPr>
      <w:r w:rsidRPr="00315BC9">
        <w:rPr>
          <w:rFonts w:ascii="Arial" w:hAnsi="Arial" w:cs="Arial"/>
        </w:rPr>
        <w:t>Ministerstvo vnitra, odbor správní</w:t>
      </w:r>
    </w:p>
    <w:p w14:paraId="1A0C2741" w14:textId="5B0C3400" w:rsidR="004E07FD" w:rsidRPr="007E72DC" w:rsidRDefault="007E72DC" w:rsidP="007E72DC">
      <w:pPr>
        <w:numPr>
          <w:ilvl w:val="0"/>
          <w:numId w:val="24"/>
        </w:numPr>
        <w:tabs>
          <w:tab w:val="left" w:pos="284"/>
        </w:tabs>
        <w:spacing w:after="120"/>
        <w:ind w:left="426" w:hanging="426"/>
        <w:jc w:val="both"/>
        <w:rPr>
          <w:rFonts w:ascii="Arial" w:eastAsia="Times New Roman" w:hAnsi="Arial" w:cs="Arial"/>
          <w:lang w:eastAsia="cs-CZ"/>
        </w:rPr>
      </w:pPr>
      <w:r w:rsidRPr="00315BC9">
        <w:rPr>
          <w:rFonts w:ascii="Arial" w:eastAsia="Times New Roman" w:hAnsi="Arial" w:cs="Arial"/>
          <w:lang w:eastAsia="cs-CZ"/>
        </w:rPr>
        <w:t>Ministerstvo vnitra, odbor veřejné správy, dozoru a kontroly</w:t>
      </w:r>
    </w:p>
    <w:sectPr w:rsidR="004E07FD" w:rsidRPr="007E72DC" w:rsidSect="006968A1">
      <w:headerReference w:type="default" r:id="rId9"/>
      <w:pgSz w:w="11906" w:h="16838"/>
      <w:pgMar w:top="1418" w:right="1418" w:bottom="1418" w:left="1418"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838C" w14:textId="77777777" w:rsidR="00A36F0D" w:rsidRDefault="00A36F0D" w:rsidP="0050183D">
      <w:pPr>
        <w:spacing w:after="0" w:line="240" w:lineRule="auto"/>
      </w:pPr>
      <w:r>
        <w:separator/>
      </w:r>
    </w:p>
  </w:endnote>
  <w:endnote w:type="continuationSeparator" w:id="0">
    <w:p w14:paraId="181AF9E0" w14:textId="77777777" w:rsidR="00A36F0D" w:rsidRDefault="00A36F0D"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F76D" w14:textId="77777777" w:rsidR="00A36F0D" w:rsidRDefault="00A36F0D" w:rsidP="0050183D">
      <w:pPr>
        <w:spacing w:after="0" w:line="240" w:lineRule="auto"/>
      </w:pPr>
      <w:r>
        <w:separator/>
      </w:r>
    </w:p>
  </w:footnote>
  <w:footnote w:type="continuationSeparator" w:id="0">
    <w:p w14:paraId="3A63CCFD" w14:textId="77777777" w:rsidR="00A36F0D" w:rsidRDefault="00A36F0D"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B2BD" w14:textId="1A6F94C7" w:rsidR="002A724E" w:rsidRPr="00E1250E" w:rsidRDefault="00B26DFF">
    <w:pPr>
      <w:pStyle w:val="Zhlav"/>
      <w:jc w:val="center"/>
      <w:rPr>
        <w:rFonts w:ascii="Arial" w:hAnsi="Arial" w:cs="Arial"/>
      </w:rPr>
    </w:pPr>
    <w:r w:rsidRPr="00E1250E">
      <w:rPr>
        <w:rFonts w:ascii="Arial" w:hAnsi="Arial" w:cs="Arial"/>
      </w:rPr>
      <w:fldChar w:fldCharType="begin"/>
    </w:r>
    <w:r w:rsidR="002A724E" w:rsidRPr="00E1250E">
      <w:rPr>
        <w:rFonts w:ascii="Arial" w:hAnsi="Arial" w:cs="Arial"/>
      </w:rPr>
      <w:instrText>PAGE   \* MERGEFORMAT</w:instrText>
    </w:r>
    <w:r w:rsidRPr="00E1250E">
      <w:rPr>
        <w:rFonts w:ascii="Arial" w:hAnsi="Arial" w:cs="Arial"/>
      </w:rPr>
      <w:fldChar w:fldCharType="separate"/>
    </w:r>
    <w:r w:rsidR="002A07B6">
      <w:rPr>
        <w:rFonts w:ascii="Arial" w:hAnsi="Arial" w:cs="Arial"/>
        <w:noProof/>
      </w:rPr>
      <w:t>- 4 -</w:t>
    </w:r>
    <w:r w:rsidRPr="00E1250E">
      <w:rPr>
        <w:rFonts w:ascii="Arial" w:hAnsi="Arial" w:cs="Arial"/>
      </w:rPr>
      <w:fldChar w:fldCharType="end"/>
    </w:r>
  </w:p>
  <w:p w14:paraId="437AF4FF" w14:textId="77777777"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88301B1"/>
    <w:multiLevelType w:val="hybridMultilevel"/>
    <w:tmpl w:val="1DAEEAA4"/>
    <w:lvl w:ilvl="0" w:tplc="4560C6CE">
      <w:start w:val="1"/>
      <w:numFmt w:val="upperRoman"/>
      <w:lvlText w:val="%1."/>
      <w:lvlJc w:val="left"/>
      <w:pPr>
        <w:ind w:left="1080" w:hanging="720"/>
      </w:pPr>
      <w:rPr>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8"/>
  </w:num>
  <w:num w:numId="5">
    <w:abstractNumId w:val="12"/>
  </w:num>
  <w:num w:numId="6">
    <w:abstractNumId w:val="22"/>
  </w:num>
  <w:num w:numId="7">
    <w:abstractNumId w:val="5"/>
  </w:num>
  <w:num w:numId="8">
    <w:abstractNumId w:val="13"/>
  </w:num>
  <w:num w:numId="9">
    <w:abstractNumId w:val="2"/>
  </w:num>
  <w:num w:numId="10">
    <w:abstractNumId w:val="19"/>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0"/>
  </w:num>
  <w:num w:numId="23">
    <w:abstractNumId w:val="1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0F0B"/>
    <w:rsid w:val="00001032"/>
    <w:rsid w:val="000013AD"/>
    <w:rsid w:val="00001982"/>
    <w:rsid w:val="0000278A"/>
    <w:rsid w:val="000030D3"/>
    <w:rsid w:val="00004942"/>
    <w:rsid w:val="00005542"/>
    <w:rsid w:val="000060C2"/>
    <w:rsid w:val="00011778"/>
    <w:rsid w:val="00011857"/>
    <w:rsid w:val="00012826"/>
    <w:rsid w:val="00013004"/>
    <w:rsid w:val="000149A5"/>
    <w:rsid w:val="000166CF"/>
    <w:rsid w:val="000176E5"/>
    <w:rsid w:val="0002068E"/>
    <w:rsid w:val="00022354"/>
    <w:rsid w:val="000229E1"/>
    <w:rsid w:val="0002511B"/>
    <w:rsid w:val="00025862"/>
    <w:rsid w:val="0003155F"/>
    <w:rsid w:val="00031BD2"/>
    <w:rsid w:val="00032C40"/>
    <w:rsid w:val="00034470"/>
    <w:rsid w:val="00037DB4"/>
    <w:rsid w:val="00040EB8"/>
    <w:rsid w:val="000463AE"/>
    <w:rsid w:val="0004689A"/>
    <w:rsid w:val="00046998"/>
    <w:rsid w:val="00047600"/>
    <w:rsid w:val="00047FAA"/>
    <w:rsid w:val="0005053D"/>
    <w:rsid w:val="000532F8"/>
    <w:rsid w:val="00055942"/>
    <w:rsid w:val="000569F3"/>
    <w:rsid w:val="000572E0"/>
    <w:rsid w:val="0006064F"/>
    <w:rsid w:val="0006138B"/>
    <w:rsid w:val="00063809"/>
    <w:rsid w:val="0006442B"/>
    <w:rsid w:val="00065AC6"/>
    <w:rsid w:val="000677BF"/>
    <w:rsid w:val="000726B7"/>
    <w:rsid w:val="0007699A"/>
    <w:rsid w:val="00077A71"/>
    <w:rsid w:val="00077C43"/>
    <w:rsid w:val="0008218E"/>
    <w:rsid w:val="00085BAB"/>
    <w:rsid w:val="0009049D"/>
    <w:rsid w:val="0009064B"/>
    <w:rsid w:val="00090C14"/>
    <w:rsid w:val="00091A3B"/>
    <w:rsid w:val="00093258"/>
    <w:rsid w:val="00093AC8"/>
    <w:rsid w:val="00093C5A"/>
    <w:rsid w:val="0009489F"/>
    <w:rsid w:val="000970E4"/>
    <w:rsid w:val="000A027C"/>
    <w:rsid w:val="000A2A35"/>
    <w:rsid w:val="000A2B00"/>
    <w:rsid w:val="000A319D"/>
    <w:rsid w:val="000A4616"/>
    <w:rsid w:val="000B3E87"/>
    <w:rsid w:val="000B4D34"/>
    <w:rsid w:val="000B5105"/>
    <w:rsid w:val="000B637B"/>
    <w:rsid w:val="000B6D22"/>
    <w:rsid w:val="000C045F"/>
    <w:rsid w:val="000C0B9B"/>
    <w:rsid w:val="000C1C4C"/>
    <w:rsid w:val="000C4F54"/>
    <w:rsid w:val="000C68FC"/>
    <w:rsid w:val="000C69EB"/>
    <w:rsid w:val="000C6DF2"/>
    <w:rsid w:val="000D018C"/>
    <w:rsid w:val="000D0E22"/>
    <w:rsid w:val="000D1AB9"/>
    <w:rsid w:val="000D20AD"/>
    <w:rsid w:val="000D2A7A"/>
    <w:rsid w:val="000D349E"/>
    <w:rsid w:val="000D6335"/>
    <w:rsid w:val="000D684C"/>
    <w:rsid w:val="000D6CF3"/>
    <w:rsid w:val="000D7D13"/>
    <w:rsid w:val="000E162D"/>
    <w:rsid w:val="000E2877"/>
    <w:rsid w:val="000E3AB3"/>
    <w:rsid w:val="000E47A7"/>
    <w:rsid w:val="000E687F"/>
    <w:rsid w:val="000F06D2"/>
    <w:rsid w:val="000F1385"/>
    <w:rsid w:val="000F7FF3"/>
    <w:rsid w:val="00102DFD"/>
    <w:rsid w:val="00104969"/>
    <w:rsid w:val="001049D7"/>
    <w:rsid w:val="00115515"/>
    <w:rsid w:val="001172BD"/>
    <w:rsid w:val="00121D51"/>
    <w:rsid w:val="001241C5"/>
    <w:rsid w:val="00124ECE"/>
    <w:rsid w:val="00124FE9"/>
    <w:rsid w:val="001306EF"/>
    <w:rsid w:val="00134514"/>
    <w:rsid w:val="0013494B"/>
    <w:rsid w:val="00135433"/>
    <w:rsid w:val="0013564B"/>
    <w:rsid w:val="00136BFB"/>
    <w:rsid w:val="0013791A"/>
    <w:rsid w:val="00137A10"/>
    <w:rsid w:val="0014090D"/>
    <w:rsid w:val="00142BBA"/>
    <w:rsid w:val="0014371D"/>
    <w:rsid w:val="00143A91"/>
    <w:rsid w:val="00145A57"/>
    <w:rsid w:val="0014618C"/>
    <w:rsid w:val="00147AB9"/>
    <w:rsid w:val="00155BFF"/>
    <w:rsid w:val="00155FC3"/>
    <w:rsid w:val="001576E8"/>
    <w:rsid w:val="00160238"/>
    <w:rsid w:val="0016074C"/>
    <w:rsid w:val="00160C96"/>
    <w:rsid w:val="00160D0E"/>
    <w:rsid w:val="00162945"/>
    <w:rsid w:val="001657C3"/>
    <w:rsid w:val="001715F0"/>
    <w:rsid w:val="001750D9"/>
    <w:rsid w:val="00177374"/>
    <w:rsid w:val="00177606"/>
    <w:rsid w:val="001777D3"/>
    <w:rsid w:val="001821CB"/>
    <w:rsid w:val="001831D4"/>
    <w:rsid w:val="00183CCF"/>
    <w:rsid w:val="001842B8"/>
    <w:rsid w:val="001848C2"/>
    <w:rsid w:val="00184D4A"/>
    <w:rsid w:val="0018571C"/>
    <w:rsid w:val="001925F2"/>
    <w:rsid w:val="00193071"/>
    <w:rsid w:val="00196ECD"/>
    <w:rsid w:val="00197798"/>
    <w:rsid w:val="0019788D"/>
    <w:rsid w:val="001A021B"/>
    <w:rsid w:val="001A3478"/>
    <w:rsid w:val="001A3680"/>
    <w:rsid w:val="001A565F"/>
    <w:rsid w:val="001A5D04"/>
    <w:rsid w:val="001A6084"/>
    <w:rsid w:val="001A6D75"/>
    <w:rsid w:val="001B149C"/>
    <w:rsid w:val="001B42E8"/>
    <w:rsid w:val="001B4502"/>
    <w:rsid w:val="001B4C31"/>
    <w:rsid w:val="001C1DA8"/>
    <w:rsid w:val="001C1EAF"/>
    <w:rsid w:val="001C653F"/>
    <w:rsid w:val="001C7409"/>
    <w:rsid w:val="001D1ECA"/>
    <w:rsid w:val="001D2D07"/>
    <w:rsid w:val="001D3056"/>
    <w:rsid w:val="001D38A3"/>
    <w:rsid w:val="001D4B7C"/>
    <w:rsid w:val="001D61E2"/>
    <w:rsid w:val="001D7D55"/>
    <w:rsid w:val="001D7EF6"/>
    <w:rsid w:val="001E0492"/>
    <w:rsid w:val="001E359B"/>
    <w:rsid w:val="001E7209"/>
    <w:rsid w:val="001E76B2"/>
    <w:rsid w:val="001E7C77"/>
    <w:rsid w:val="001E7D6F"/>
    <w:rsid w:val="001F292D"/>
    <w:rsid w:val="001F301C"/>
    <w:rsid w:val="001F344E"/>
    <w:rsid w:val="001F4E91"/>
    <w:rsid w:val="001F5C79"/>
    <w:rsid w:val="001F5FFB"/>
    <w:rsid w:val="001F63C3"/>
    <w:rsid w:val="001F7D69"/>
    <w:rsid w:val="00200745"/>
    <w:rsid w:val="00200E0E"/>
    <w:rsid w:val="00201466"/>
    <w:rsid w:val="00201484"/>
    <w:rsid w:val="0020328C"/>
    <w:rsid w:val="002070E1"/>
    <w:rsid w:val="00207D32"/>
    <w:rsid w:val="00211F44"/>
    <w:rsid w:val="00212241"/>
    <w:rsid w:val="0021447C"/>
    <w:rsid w:val="0021542C"/>
    <w:rsid w:val="002201A9"/>
    <w:rsid w:val="00221203"/>
    <w:rsid w:val="00222D6C"/>
    <w:rsid w:val="0022334F"/>
    <w:rsid w:val="00230886"/>
    <w:rsid w:val="0023469C"/>
    <w:rsid w:val="00235147"/>
    <w:rsid w:val="00236444"/>
    <w:rsid w:val="00236817"/>
    <w:rsid w:val="00236E64"/>
    <w:rsid w:val="00241947"/>
    <w:rsid w:val="0024333D"/>
    <w:rsid w:val="00245EA2"/>
    <w:rsid w:val="0024631D"/>
    <w:rsid w:val="00250EFC"/>
    <w:rsid w:val="00251091"/>
    <w:rsid w:val="00251FBF"/>
    <w:rsid w:val="00252196"/>
    <w:rsid w:val="002522C7"/>
    <w:rsid w:val="00253B37"/>
    <w:rsid w:val="00254809"/>
    <w:rsid w:val="00255439"/>
    <w:rsid w:val="00256638"/>
    <w:rsid w:val="002605AC"/>
    <w:rsid w:val="0026076C"/>
    <w:rsid w:val="00262223"/>
    <w:rsid w:val="00262AF4"/>
    <w:rsid w:val="00270906"/>
    <w:rsid w:val="0027115F"/>
    <w:rsid w:val="002723BD"/>
    <w:rsid w:val="002731AA"/>
    <w:rsid w:val="0027337D"/>
    <w:rsid w:val="00273669"/>
    <w:rsid w:val="0027498C"/>
    <w:rsid w:val="00274A9A"/>
    <w:rsid w:val="00274B42"/>
    <w:rsid w:val="00275FD9"/>
    <w:rsid w:val="002777B2"/>
    <w:rsid w:val="00280CAA"/>
    <w:rsid w:val="00281E12"/>
    <w:rsid w:val="00283AA0"/>
    <w:rsid w:val="0028432C"/>
    <w:rsid w:val="00286C3E"/>
    <w:rsid w:val="00286C8C"/>
    <w:rsid w:val="00287410"/>
    <w:rsid w:val="0028781B"/>
    <w:rsid w:val="00290194"/>
    <w:rsid w:val="00290D70"/>
    <w:rsid w:val="00292579"/>
    <w:rsid w:val="0029333B"/>
    <w:rsid w:val="0029481E"/>
    <w:rsid w:val="0029493C"/>
    <w:rsid w:val="002A07B6"/>
    <w:rsid w:val="002A0C1A"/>
    <w:rsid w:val="002A2128"/>
    <w:rsid w:val="002A26F1"/>
    <w:rsid w:val="002A3093"/>
    <w:rsid w:val="002A47BC"/>
    <w:rsid w:val="002A724E"/>
    <w:rsid w:val="002B0EE8"/>
    <w:rsid w:val="002B2080"/>
    <w:rsid w:val="002B591B"/>
    <w:rsid w:val="002B70B2"/>
    <w:rsid w:val="002C00BE"/>
    <w:rsid w:val="002C20FF"/>
    <w:rsid w:val="002C2F7F"/>
    <w:rsid w:val="002C33A9"/>
    <w:rsid w:val="002D1274"/>
    <w:rsid w:val="002D2F22"/>
    <w:rsid w:val="002D429F"/>
    <w:rsid w:val="002D43CD"/>
    <w:rsid w:val="002D5942"/>
    <w:rsid w:val="002E161D"/>
    <w:rsid w:val="002E290E"/>
    <w:rsid w:val="002E3A0A"/>
    <w:rsid w:val="002E3C1B"/>
    <w:rsid w:val="002E50DE"/>
    <w:rsid w:val="002E57D5"/>
    <w:rsid w:val="002E6CBE"/>
    <w:rsid w:val="002F0428"/>
    <w:rsid w:val="002F05CC"/>
    <w:rsid w:val="002F16E8"/>
    <w:rsid w:val="002F1B28"/>
    <w:rsid w:val="002F254E"/>
    <w:rsid w:val="002F5A25"/>
    <w:rsid w:val="002F67B1"/>
    <w:rsid w:val="002F71B2"/>
    <w:rsid w:val="0030082F"/>
    <w:rsid w:val="003028B3"/>
    <w:rsid w:val="00303F17"/>
    <w:rsid w:val="00304E65"/>
    <w:rsid w:val="00305E79"/>
    <w:rsid w:val="00306FA1"/>
    <w:rsid w:val="00311813"/>
    <w:rsid w:val="00315A48"/>
    <w:rsid w:val="00320C55"/>
    <w:rsid w:val="003211F9"/>
    <w:rsid w:val="00330312"/>
    <w:rsid w:val="003320CE"/>
    <w:rsid w:val="003339B5"/>
    <w:rsid w:val="003360F2"/>
    <w:rsid w:val="003363B5"/>
    <w:rsid w:val="00340465"/>
    <w:rsid w:val="00340AA2"/>
    <w:rsid w:val="0034285A"/>
    <w:rsid w:val="003428D1"/>
    <w:rsid w:val="00342E08"/>
    <w:rsid w:val="003445F9"/>
    <w:rsid w:val="00344ED2"/>
    <w:rsid w:val="003461A3"/>
    <w:rsid w:val="003466AE"/>
    <w:rsid w:val="0035311C"/>
    <w:rsid w:val="0035396B"/>
    <w:rsid w:val="0035458B"/>
    <w:rsid w:val="00354933"/>
    <w:rsid w:val="00354EAF"/>
    <w:rsid w:val="0036001D"/>
    <w:rsid w:val="00363773"/>
    <w:rsid w:val="00364E9D"/>
    <w:rsid w:val="0036746D"/>
    <w:rsid w:val="00371DD1"/>
    <w:rsid w:val="003744CD"/>
    <w:rsid w:val="00374DBD"/>
    <w:rsid w:val="0037591C"/>
    <w:rsid w:val="003768CD"/>
    <w:rsid w:val="00376A7D"/>
    <w:rsid w:val="003811C3"/>
    <w:rsid w:val="00383182"/>
    <w:rsid w:val="003835ED"/>
    <w:rsid w:val="0038387A"/>
    <w:rsid w:val="003847B5"/>
    <w:rsid w:val="00387D80"/>
    <w:rsid w:val="00390B26"/>
    <w:rsid w:val="003920A1"/>
    <w:rsid w:val="003925DA"/>
    <w:rsid w:val="00392A34"/>
    <w:rsid w:val="00394DDC"/>
    <w:rsid w:val="00394FA9"/>
    <w:rsid w:val="0039529D"/>
    <w:rsid w:val="003952CF"/>
    <w:rsid w:val="003955D4"/>
    <w:rsid w:val="003A20C1"/>
    <w:rsid w:val="003A4192"/>
    <w:rsid w:val="003A4E03"/>
    <w:rsid w:val="003A5B4B"/>
    <w:rsid w:val="003A6009"/>
    <w:rsid w:val="003A6243"/>
    <w:rsid w:val="003A63F8"/>
    <w:rsid w:val="003A64F8"/>
    <w:rsid w:val="003A6B8D"/>
    <w:rsid w:val="003B046F"/>
    <w:rsid w:val="003B070B"/>
    <w:rsid w:val="003B2B96"/>
    <w:rsid w:val="003B5B17"/>
    <w:rsid w:val="003B673C"/>
    <w:rsid w:val="003B692C"/>
    <w:rsid w:val="003B7195"/>
    <w:rsid w:val="003C286E"/>
    <w:rsid w:val="003C4FE5"/>
    <w:rsid w:val="003D1424"/>
    <w:rsid w:val="003D538B"/>
    <w:rsid w:val="003D5F4B"/>
    <w:rsid w:val="003D64BB"/>
    <w:rsid w:val="003E04AD"/>
    <w:rsid w:val="003E0E2B"/>
    <w:rsid w:val="003E2322"/>
    <w:rsid w:val="003E5CB0"/>
    <w:rsid w:val="003E664C"/>
    <w:rsid w:val="003E6AAD"/>
    <w:rsid w:val="003E711A"/>
    <w:rsid w:val="003F0D8F"/>
    <w:rsid w:val="003F25D2"/>
    <w:rsid w:val="003F2659"/>
    <w:rsid w:val="003F377D"/>
    <w:rsid w:val="003F4588"/>
    <w:rsid w:val="003F506F"/>
    <w:rsid w:val="003F5AF5"/>
    <w:rsid w:val="003F6132"/>
    <w:rsid w:val="00400A13"/>
    <w:rsid w:val="00401FFE"/>
    <w:rsid w:val="004021D3"/>
    <w:rsid w:val="00403822"/>
    <w:rsid w:val="0041260B"/>
    <w:rsid w:val="004129B6"/>
    <w:rsid w:val="00413F89"/>
    <w:rsid w:val="00414B5E"/>
    <w:rsid w:val="00415993"/>
    <w:rsid w:val="00420938"/>
    <w:rsid w:val="00420B0B"/>
    <w:rsid w:val="00421AAF"/>
    <w:rsid w:val="004259FA"/>
    <w:rsid w:val="0042623E"/>
    <w:rsid w:val="00430CC2"/>
    <w:rsid w:val="00430F41"/>
    <w:rsid w:val="00431148"/>
    <w:rsid w:val="00431BB4"/>
    <w:rsid w:val="00433CFE"/>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BA"/>
    <w:rsid w:val="00451DC6"/>
    <w:rsid w:val="00455AF3"/>
    <w:rsid w:val="00456D57"/>
    <w:rsid w:val="00456FFF"/>
    <w:rsid w:val="0046119C"/>
    <w:rsid w:val="00461EE7"/>
    <w:rsid w:val="00462E4E"/>
    <w:rsid w:val="00467517"/>
    <w:rsid w:val="00467BD8"/>
    <w:rsid w:val="00467EBE"/>
    <w:rsid w:val="0047401A"/>
    <w:rsid w:val="00475295"/>
    <w:rsid w:val="00475983"/>
    <w:rsid w:val="00475F1C"/>
    <w:rsid w:val="00480834"/>
    <w:rsid w:val="00480C6E"/>
    <w:rsid w:val="00483222"/>
    <w:rsid w:val="004854D2"/>
    <w:rsid w:val="004863E2"/>
    <w:rsid w:val="00486497"/>
    <w:rsid w:val="004868E7"/>
    <w:rsid w:val="00491983"/>
    <w:rsid w:val="0049284B"/>
    <w:rsid w:val="00494DED"/>
    <w:rsid w:val="0049504F"/>
    <w:rsid w:val="004955D0"/>
    <w:rsid w:val="004956F1"/>
    <w:rsid w:val="00496487"/>
    <w:rsid w:val="0049791C"/>
    <w:rsid w:val="004A08B8"/>
    <w:rsid w:val="004A15EA"/>
    <w:rsid w:val="004A4932"/>
    <w:rsid w:val="004A5297"/>
    <w:rsid w:val="004A53F3"/>
    <w:rsid w:val="004A737A"/>
    <w:rsid w:val="004B271D"/>
    <w:rsid w:val="004B3B93"/>
    <w:rsid w:val="004B4137"/>
    <w:rsid w:val="004B4C61"/>
    <w:rsid w:val="004B59C0"/>
    <w:rsid w:val="004B6231"/>
    <w:rsid w:val="004C1B47"/>
    <w:rsid w:val="004C21DE"/>
    <w:rsid w:val="004D2E21"/>
    <w:rsid w:val="004D3D05"/>
    <w:rsid w:val="004D546C"/>
    <w:rsid w:val="004D6F3E"/>
    <w:rsid w:val="004D7501"/>
    <w:rsid w:val="004E005A"/>
    <w:rsid w:val="004E07FD"/>
    <w:rsid w:val="004E08E7"/>
    <w:rsid w:val="004E1580"/>
    <w:rsid w:val="004E2F1D"/>
    <w:rsid w:val="004E3BA6"/>
    <w:rsid w:val="004E49FD"/>
    <w:rsid w:val="004E4C9D"/>
    <w:rsid w:val="004E4FFF"/>
    <w:rsid w:val="004E50ED"/>
    <w:rsid w:val="004E6B03"/>
    <w:rsid w:val="004F00FB"/>
    <w:rsid w:val="004F19E4"/>
    <w:rsid w:val="004F2058"/>
    <w:rsid w:val="004F38A6"/>
    <w:rsid w:val="004F3BE4"/>
    <w:rsid w:val="004F46A9"/>
    <w:rsid w:val="004F4914"/>
    <w:rsid w:val="004F506B"/>
    <w:rsid w:val="004F68B5"/>
    <w:rsid w:val="004F6E53"/>
    <w:rsid w:val="004F746B"/>
    <w:rsid w:val="0050046C"/>
    <w:rsid w:val="0050183D"/>
    <w:rsid w:val="00502F3D"/>
    <w:rsid w:val="00507981"/>
    <w:rsid w:val="00507C8F"/>
    <w:rsid w:val="00510347"/>
    <w:rsid w:val="00511733"/>
    <w:rsid w:val="00511B00"/>
    <w:rsid w:val="0051212B"/>
    <w:rsid w:val="00513A2E"/>
    <w:rsid w:val="00515209"/>
    <w:rsid w:val="00517109"/>
    <w:rsid w:val="0052379B"/>
    <w:rsid w:val="005239E0"/>
    <w:rsid w:val="00523B4E"/>
    <w:rsid w:val="00523FA3"/>
    <w:rsid w:val="0052418B"/>
    <w:rsid w:val="005263F1"/>
    <w:rsid w:val="005312AE"/>
    <w:rsid w:val="00532235"/>
    <w:rsid w:val="00532BE4"/>
    <w:rsid w:val="005331B7"/>
    <w:rsid w:val="005345CB"/>
    <w:rsid w:val="00534EC6"/>
    <w:rsid w:val="00535820"/>
    <w:rsid w:val="00536428"/>
    <w:rsid w:val="00536917"/>
    <w:rsid w:val="005370C9"/>
    <w:rsid w:val="005372C1"/>
    <w:rsid w:val="005373A7"/>
    <w:rsid w:val="00537988"/>
    <w:rsid w:val="00542553"/>
    <w:rsid w:val="00543F94"/>
    <w:rsid w:val="00546ECA"/>
    <w:rsid w:val="00547918"/>
    <w:rsid w:val="00551BBC"/>
    <w:rsid w:val="005538C2"/>
    <w:rsid w:val="0055492F"/>
    <w:rsid w:val="00554A84"/>
    <w:rsid w:val="0055562B"/>
    <w:rsid w:val="005556FF"/>
    <w:rsid w:val="00556875"/>
    <w:rsid w:val="005579F6"/>
    <w:rsid w:val="00560401"/>
    <w:rsid w:val="00561672"/>
    <w:rsid w:val="00562E97"/>
    <w:rsid w:val="005633C6"/>
    <w:rsid w:val="00563FCF"/>
    <w:rsid w:val="005642A0"/>
    <w:rsid w:val="00565196"/>
    <w:rsid w:val="005659F9"/>
    <w:rsid w:val="00565C15"/>
    <w:rsid w:val="00565D95"/>
    <w:rsid w:val="00566AF9"/>
    <w:rsid w:val="00566B1E"/>
    <w:rsid w:val="005713DC"/>
    <w:rsid w:val="00571CD9"/>
    <w:rsid w:val="0057228B"/>
    <w:rsid w:val="0057388E"/>
    <w:rsid w:val="00573DCB"/>
    <w:rsid w:val="005741F3"/>
    <w:rsid w:val="00575A2D"/>
    <w:rsid w:val="00576950"/>
    <w:rsid w:val="00580631"/>
    <w:rsid w:val="005824FB"/>
    <w:rsid w:val="0058251E"/>
    <w:rsid w:val="00584074"/>
    <w:rsid w:val="00585D36"/>
    <w:rsid w:val="00587E4C"/>
    <w:rsid w:val="005918C2"/>
    <w:rsid w:val="00593EBF"/>
    <w:rsid w:val="00594C98"/>
    <w:rsid w:val="00597AF1"/>
    <w:rsid w:val="005A268C"/>
    <w:rsid w:val="005A314B"/>
    <w:rsid w:val="005A47CC"/>
    <w:rsid w:val="005A4F88"/>
    <w:rsid w:val="005A57D6"/>
    <w:rsid w:val="005A62E5"/>
    <w:rsid w:val="005B05D4"/>
    <w:rsid w:val="005B3599"/>
    <w:rsid w:val="005B3775"/>
    <w:rsid w:val="005B4802"/>
    <w:rsid w:val="005B745F"/>
    <w:rsid w:val="005C0561"/>
    <w:rsid w:val="005C116F"/>
    <w:rsid w:val="005C1584"/>
    <w:rsid w:val="005C3B28"/>
    <w:rsid w:val="005C62F7"/>
    <w:rsid w:val="005C7595"/>
    <w:rsid w:val="005D042B"/>
    <w:rsid w:val="005D0D5E"/>
    <w:rsid w:val="005D10B6"/>
    <w:rsid w:val="005D1C9D"/>
    <w:rsid w:val="005D2A2C"/>
    <w:rsid w:val="005D3401"/>
    <w:rsid w:val="005D6105"/>
    <w:rsid w:val="005D6278"/>
    <w:rsid w:val="005D65A1"/>
    <w:rsid w:val="005E1911"/>
    <w:rsid w:val="005E2EE5"/>
    <w:rsid w:val="005E5095"/>
    <w:rsid w:val="005E5A1B"/>
    <w:rsid w:val="005F0C15"/>
    <w:rsid w:val="005F7916"/>
    <w:rsid w:val="00600051"/>
    <w:rsid w:val="00601505"/>
    <w:rsid w:val="006024BF"/>
    <w:rsid w:val="00602B76"/>
    <w:rsid w:val="00606BEA"/>
    <w:rsid w:val="00607291"/>
    <w:rsid w:val="0061072E"/>
    <w:rsid w:val="00611491"/>
    <w:rsid w:val="0061187F"/>
    <w:rsid w:val="0061352A"/>
    <w:rsid w:val="006141D1"/>
    <w:rsid w:val="006143C9"/>
    <w:rsid w:val="00614833"/>
    <w:rsid w:val="00614D52"/>
    <w:rsid w:val="00616A4A"/>
    <w:rsid w:val="006176A0"/>
    <w:rsid w:val="006215D9"/>
    <w:rsid w:val="00622707"/>
    <w:rsid w:val="00622CEF"/>
    <w:rsid w:val="00623E16"/>
    <w:rsid w:val="00627059"/>
    <w:rsid w:val="00630872"/>
    <w:rsid w:val="00630E11"/>
    <w:rsid w:val="006318FA"/>
    <w:rsid w:val="00631E66"/>
    <w:rsid w:val="0063212D"/>
    <w:rsid w:val="00634FB0"/>
    <w:rsid w:val="00635FF7"/>
    <w:rsid w:val="00636E17"/>
    <w:rsid w:val="006405E6"/>
    <w:rsid w:val="00640DC0"/>
    <w:rsid w:val="006436CD"/>
    <w:rsid w:val="006436F2"/>
    <w:rsid w:val="00643FFA"/>
    <w:rsid w:val="00644686"/>
    <w:rsid w:val="00647F58"/>
    <w:rsid w:val="0065091A"/>
    <w:rsid w:val="00651407"/>
    <w:rsid w:val="0065493D"/>
    <w:rsid w:val="00654A2E"/>
    <w:rsid w:val="00654FE6"/>
    <w:rsid w:val="006563F4"/>
    <w:rsid w:val="0066156C"/>
    <w:rsid w:val="006615EA"/>
    <w:rsid w:val="00664548"/>
    <w:rsid w:val="00664BA6"/>
    <w:rsid w:val="00665623"/>
    <w:rsid w:val="00665DA1"/>
    <w:rsid w:val="00667B41"/>
    <w:rsid w:val="00670376"/>
    <w:rsid w:val="00672B1B"/>
    <w:rsid w:val="006746AC"/>
    <w:rsid w:val="00675EB0"/>
    <w:rsid w:val="00676B7D"/>
    <w:rsid w:val="006774FF"/>
    <w:rsid w:val="006809B4"/>
    <w:rsid w:val="00681CEE"/>
    <w:rsid w:val="006850BE"/>
    <w:rsid w:val="00685902"/>
    <w:rsid w:val="0068691C"/>
    <w:rsid w:val="00690426"/>
    <w:rsid w:val="00691187"/>
    <w:rsid w:val="00692EE4"/>
    <w:rsid w:val="006930E5"/>
    <w:rsid w:val="006935BC"/>
    <w:rsid w:val="00693A2B"/>
    <w:rsid w:val="00695308"/>
    <w:rsid w:val="0069611D"/>
    <w:rsid w:val="006968A1"/>
    <w:rsid w:val="006A0627"/>
    <w:rsid w:val="006A06EA"/>
    <w:rsid w:val="006A0CFA"/>
    <w:rsid w:val="006A151D"/>
    <w:rsid w:val="006A2DCD"/>
    <w:rsid w:val="006A3E86"/>
    <w:rsid w:val="006A49D4"/>
    <w:rsid w:val="006A55CB"/>
    <w:rsid w:val="006A581E"/>
    <w:rsid w:val="006A6A4D"/>
    <w:rsid w:val="006A7B16"/>
    <w:rsid w:val="006B0AA7"/>
    <w:rsid w:val="006B2175"/>
    <w:rsid w:val="006B2522"/>
    <w:rsid w:val="006B2694"/>
    <w:rsid w:val="006B3EDA"/>
    <w:rsid w:val="006B49F6"/>
    <w:rsid w:val="006B4AAF"/>
    <w:rsid w:val="006B54B3"/>
    <w:rsid w:val="006B6235"/>
    <w:rsid w:val="006B797E"/>
    <w:rsid w:val="006C0D7D"/>
    <w:rsid w:val="006C1736"/>
    <w:rsid w:val="006C56A7"/>
    <w:rsid w:val="006C7633"/>
    <w:rsid w:val="006D08F5"/>
    <w:rsid w:val="006D0926"/>
    <w:rsid w:val="006D0DC0"/>
    <w:rsid w:val="006D2504"/>
    <w:rsid w:val="006D30AB"/>
    <w:rsid w:val="006E0A2A"/>
    <w:rsid w:val="006E3DD1"/>
    <w:rsid w:val="006E5530"/>
    <w:rsid w:val="006E73FB"/>
    <w:rsid w:val="006F0D2E"/>
    <w:rsid w:val="006F16BE"/>
    <w:rsid w:val="006F3667"/>
    <w:rsid w:val="006F41FF"/>
    <w:rsid w:val="006F5983"/>
    <w:rsid w:val="006F61D3"/>
    <w:rsid w:val="006F6F46"/>
    <w:rsid w:val="007016A5"/>
    <w:rsid w:val="00703649"/>
    <w:rsid w:val="0070490A"/>
    <w:rsid w:val="0070498A"/>
    <w:rsid w:val="00710BD7"/>
    <w:rsid w:val="00711479"/>
    <w:rsid w:val="00713D97"/>
    <w:rsid w:val="0071459A"/>
    <w:rsid w:val="00716248"/>
    <w:rsid w:val="0071773A"/>
    <w:rsid w:val="007178F1"/>
    <w:rsid w:val="00720B0F"/>
    <w:rsid w:val="00722DC3"/>
    <w:rsid w:val="007243F3"/>
    <w:rsid w:val="00725925"/>
    <w:rsid w:val="00730314"/>
    <w:rsid w:val="007342F5"/>
    <w:rsid w:val="0073561C"/>
    <w:rsid w:val="00735FEE"/>
    <w:rsid w:val="00742869"/>
    <w:rsid w:val="0074342C"/>
    <w:rsid w:val="00744D0B"/>
    <w:rsid w:val="00750C29"/>
    <w:rsid w:val="00750C98"/>
    <w:rsid w:val="00751B40"/>
    <w:rsid w:val="0075381D"/>
    <w:rsid w:val="007576BF"/>
    <w:rsid w:val="0076066F"/>
    <w:rsid w:val="00761D7B"/>
    <w:rsid w:val="00763818"/>
    <w:rsid w:val="007658F5"/>
    <w:rsid w:val="00766262"/>
    <w:rsid w:val="00771D18"/>
    <w:rsid w:val="00772184"/>
    <w:rsid w:val="00774D3E"/>
    <w:rsid w:val="007762CA"/>
    <w:rsid w:val="00776CAE"/>
    <w:rsid w:val="00777EF7"/>
    <w:rsid w:val="0078146E"/>
    <w:rsid w:val="00782A62"/>
    <w:rsid w:val="00782C84"/>
    <w:rsid w:val="007830EF"/>
    <w:rsid w:val="007847AA"/>
    <w:rsid w:val="0078566C"/>
    <w:rsid w:val="00786017"/>
    <w:rsid w:val="00787D2A"/>
    <w:rsid w:val="00790417"/>
    <w:rsid w:val="00791C27"/>
    <w:rsid w:val="00792565"/>
    <w:rsid w:val="007925AB"/>
    <w:rsid w:val="0079537D"/>
    <w:rsid w:val="007A1E4C"/>
    <w:rsid w:val="007A2323"/>
    <w:rsid w:val="007A50A8"/>
    <w:rsid w:val="007A5B28"/>
    <w:rsid w:val="007A71A9"/>
    <w:rsid w:val="007A749E"/>
    <w:rsid w:val="007A7527"/>
    <w:rsid w:val="007B18B8"/>
    <w:rsid w:val="007B1907"/>
    <w:rsid w:val="007B337D"/>
    <w:rsid w:val="007B3685"/>
    <w:rsid w:val="007B45FB"/>
    <w:rsid w:val="007B48BB"/>
    <w:rsid w:val="007B4B36"/>
    <w:rsid w:val="007B6342"/>
    <w:rsid w:val="007C0987"/>
    <w:rsid w:val="007C1E8A"/>
    <w:rsid w:val="007C2910"/>
    <w:rsid w:val="007C51FB"/>
    <w:rsid w:val="007C699F"/>
    <w:rsid w:val="007C69CF"/>
    <w:rsid w:val="007C6B16"/>
    <w:rsid w:val="007D1950"/>
    <w:rsid w:val="007D7C1B"/>
    <w:rsid w:val="007E0356"/>
    <w:rsid w:val="007E0B8B"/>
    <w:rsid w:val="007E1E03"/>
    <w:rsid w:val="007E65D5"/>
    <w:rsid w:val="007E6DC4"/>
    <w:rsid w:val="007E72DC"/>
    <w:rsid w:val="007E73D8"/>
    <w:rsid w:val="007E74C3"/>
    <w:rsid w:val="007E7949"/>
    <w:rsid w:val="007F1B0E"/>
    <w:rsid w:val="007F2189"/>
    <w:rsid w:val="007F22A8"/>
    <w:rsid w:val="007F4786"/>
    <w:rsid w:val="007F49DA"/>
    <w:rsid w:val="007F4F2E"/>
    <w:rsid w:val="007F5F9C"/>
    <w:rsid w:val="007F6952"/>
    <w:rsid w:val="007F6A2B"/>
    <w:rsid w:val="007F7FC2"/>
    <w:rsid w:val="00801B2D"/>
    <w:rsid w:val="00802955"/>
    <w:rsid w:val="00802D18"/>
    <w:rsid w:val="0080429B"/>
    <w:rsid w:val="008053BD"/>
    <w:rsid w:val="00807B9A"/>
    <w:rsid w:val="00807C18"/>
    <w:rsid w:val="00810BA3"/>
    <w:rsid w:val="008117B8"/>
    <w:rsid w:val="008157DF"/>
    <w:rsid w:val="008158B6"/>
    <w:rsid w:val="0081744A"/>
    <w:rsid w:val="00820A95"/>
    <w:rsid w:val="00822E09"/>
    <w:rsid w:val="0082646B"/>
    <w:rsid w:val="008270DC"/>
    <w:rsid w:val="00827B24"/>
    <w:rsid w:val="008300FF"/>
    <w:rsid w:val="00833C3E"/>
    <w:rsid w:val="00835567"/>
    <w:rsid w:val="00836126"/>
    <w:rsid w:val="008413BA"/>
    <w:rsid w:val="00844C95"/>
    <w:rsid w:val="00844FEB"/>
    <w:rsid w:val="008469F5"/>
    <w:rsid w:val="00850D1B"/>
    <w:rsid w:val="0085109C"/>
    <w:rsid w:val="00852505"/>
    <w:rsid w:val="0085252A"/>
    <w:rsid w:val="00852738"/>
    <w:rsid w:val="00852B17"/>
    <w:rsid w:val="00852D3D"/>
    <w:rsid w:val="008539F5"/>
    <w:rsid w:val="00854485"/>
    <w:rsid w:val="00856033"/>
    <w:rsid w:val="00856733"/>
    <w:rsid w:val="00860290"/>
    <w:rsid w:val="008602F9"/>
    <w:rsid w:val="0086075F"/>
    <w:rsid w:val="00861E5E"/>
    <w:rsid w:val="00862373"/>
    <w:rsid w:val="00864361"/>
    <w:rsid w:val="00866018"/>
    <w:rsid w:val="00866BE5"/>
    <w:rsid w:val="0086791B"/>
    <w:rsid w:val="00870D8E"/>
    <w:rsid w:val="00871056"/>
    <w:rsid w:val="008710EB"/>
    <w:rsid w:val="00871C09"/>
    <w:rsid w:val="008753AD"/>
    <w:rsid w:val="0088098E"/>
    <w:rsid w:val="00881B7C"/>
    <w:rsid w:val="0088263C"/>
    <w:rsid w:val="00882DFA"/>
    <w:rsid w:val="00883E18"/>
    <w:rsid w:val="0088482B"/>
    <w:rsid w:val="008856E1"/>
    <w:rsid w:val="00887BAB"/>
    <w:rsid w:val="00890999"/>
    <w:rsid w:val="00890FC3"/>
    <w:rsid w:val="00892588"/>
    <w:rsid w:val="00892E20"/>
    <w:rsid w:val="00894C92"/>
    <w:rsid w:val="00896234"/>
    <w:rsid w:val="008968FF"/>
    <w:rsid w:val="00896A01"/>
    <w:rsid w:val="0089707B"/>
    <w:rsid w:val="008979F2"/>
    <w:rsid w:val="008A1169"/>
    <w:rsid w:val="008A30E7"/>
    <w:rsid w:val="008A7D8E"/>
    <w:rsid w:val="008B2AEC"/>
    <w:rsid w:val="008B3CF7"/>
    <w:rsid w:val="008B4257"/>
    <w:rsid w:val="008B4B34"/>
    <w:rsid w:val="008B5D18"/>
    <w:rsid w:val="008B6B0C"/>
    <w:rsid w:val="008C08EC"/>
    <w:rsid w:val="008C0C27"/>
    <w:rsid w:val="008C0CA2"/>
    <w:rsid w:val="008C1B45"/>
    <w:rsid w:val="008C2A80"/>
    <w:rsid w:val="008C3287"/>
    <w:rsid w:val="008C443B"/>
    <w:rsid w:val="008C53D0"/>
    <w:rsid w:val="008C6A70"/>
    <w:rsid w:val="008C6EFB"/>
    <w:rsid w:val="008C7046"/>
    <w:rsid w:val="008D17E3"/>
    <w:rsid w:val="008D2716"/>
    <w:rsid w:val="008D2E8B"/>
    <w:rsid w:val="008D3567"/>
    <w:rsid w:val="008D4BC4"/>
    <w:rsid w:val="008D504B"/>
    <w:rsid w:val="008D57E3"/>
    <w:rsid w:val="008D6816"/>
    <w:rsid w:val="008E0063"/>
    <w:rsid w:val="008E0795"/>
    <w:rsid w:val="008E18D5"/>
    <w:rsid w:val="008E72D6"/>
    <w:rsid w:val="008E780E"/>
    <w:rsid w:val="008F0D6A"/>
    <w:rsid w:val="008F0EE3"/>
    <w:rsid w:val="008F132E"/>
    <w:rsid w:val="008F15A8"/>
    <w:rsid w:val="008F2F15"/>
    <w:rsid w:val="008F329D"/>
    <w:rsid w:val="009004C1"/>
    <w:rsid w:val="00900E0A"/>
    <w:rsid w:val="00903761"/>
    <w:rsid w:val="00903F10"/>
    <w:rsid w:val="00914432"/>
    <w:rsid w:val="00914D5B"/>
    <w:rsid w:val="00915E4D"/>
    <w:rsid w:val="00916911"/>
    <w:rsid w:val="00916AD4"/>
    <w:rsid w:val="00917128"/>
    <w:rsid w:val="00921318"/>
    <w:rsid w:val="009255CF"/>
    <w:rsid w:val="0092676E"/>
    <w:rsid w:val="00926B38"/>
    <w:rsid w:val="00926D32"/>
    <w:rsid w:val="00927E94"/>
    <w:rsid w:val="00937056"/>
    <w:rsid w:val="00940380"/>
    <w:rsid w:val="00941770"/>
    <w:rsid w:val="009433E9"/>
    <w:rsid w:val="00944C9B"/>
    <w:rsid w:val="009454A6"/>
    <w:rsid w:val="00945FB6"/>
    <w:rsid w:val="00946400"/>
    <w:rsid w:val="0094670F"/>
    <w:rsid w:val="00950C88"/>
    <w:rsid w:val="00951A34"/>
    <w:rsid w:val="00951DB6"/>
    <w:rsid w:val="0095308E"/>
    <w:rsid w:val="00953B20"/>
    <w:rsid w:val="00953EB4"/>
    <w:rsid w:val="00954DFD"/>
    <w:rsid w:val="00961C6A"/>
    <w:rsid w:val="00962854"/>
    <w:rsid w:val="0096352D"/>
    <w:rsid w:val="009665C8"/>
    <w:rsid w:val="00970D6D"/>
    <w:rsid w:val="00971DBC"/>
    <w:rsid w:val="00972B71"/>
    <w:rsid w:val="0097353B"/>
    <w:rsid w:val="00973572"/>
    <w:rsid w:val="00980B05"/>
    <w:rsid w:val="009831A6"/>
    <w:rsid w:val="00986300"/>
    <w:rsid w:val="00986909"/>
    <w:rsid w:val="00986978"/>
    <w:rsid w:val="00987230"/>
    <w:rsid w:val="00991116"/>
    <w:rsid w:val="00991289"/>
    <w:rsid w:val="0099201A"/>
    <w:rsid w:val="009A120F"/>
    <w:rsid w:val="009A29D2"/>
    <w:rsid w:val="009A3148"/>
    <w:rsid w:val="009A54CC"/>
    <w:rsid w:val="009A6827"/>
    <w:rsid w:val="009A6943"/>
    <w:rsid w:val="009A7915"/>
    <w:rsid w:val="009B1377"/>
    <w:rsid w:val="009B276C"/>
    <w:rsid w:val="009B2FB2"/>
    <w:rsid w:val="009B5A49"/>
    <w:rsid w:val="009B5ACB"/>
    <w:rsid w:val="009B79C0"/>
    <w:rsid w:val="009C05B2"/>
    <w:rsid w:val="009C2F81"/>
    <w:rsid w:val="009C55F3"/>
    <w:rsid w:val="009C57A5"/>
    <w:rsid w:val="009C6535"/>
    <w:rsid w:val="009C768D"/>
    <w:rsid w:val="009C7EF6"/>
    <w:rsid w:val="009D0219"/>
    <w:rsid w:val="009D104F"/>
    <w:rsid w:val="009E32D1"/>
    <w:rsid w:val="009E3BE9"/>
    <w:rsid w:val="009E3D98"/>
    <w:rsid w:val="009E4D00"/>
    <w:rsid w:val="009E5314"/>
    <w:rsid w:val="009E5447"/>
    <w:rsid w:val="009F425C"/>
    <w:rsid w:val="009F45C5"/>
    <w:rsid w:val="00A00428"/>
    <w:rsid w:val="00A00AF1"/>
    <w:rsid w:val="00A0253C"/>
    <w:rsid w:val="00A0317E"/>
    <w:rsid w:val="00A0465F"/>
    <w:rsid w:val="00A052A7"/>
    <w:rsid w:val="00A07497"/>
    <w:rsid w:val="00A17ED5"/>
    <w:rsid w:val="00A200C8"/>
    <w:rsid w:val="00A21563"/>
    <w:rsid w:val="00A2493F"/>
    <w:rsid w:val="00A25323"/>
    <w:rsid w:val="00A258EB"/>
    <w:rsid w:val="00A26EB9"/>
    <w:rsid w:val="00A30F01"/>
    <w:rsid w:val="00A31777"/>
    <w:rsid w:val="00A32DC0"/>
    <w:rsid w:val="00A34D7B"/>
    <w:rsid w:val="00A34DF2"/>
    <w:rsid w:val="00A35D87"/>
    <w:rsid w:val="00A36A23"/>
    <w:rsid w:val="00A36D17"/>
    <w:rsid w:val="00A36F0D"/>
    <w:rsid w:val="00A37327"/>
    <w:rsid w:val="00A37635"/>
    <w:rsid w:val="00A37A77"/>
    <w:rsid w:val="00A400E9"/>
    <w:rsid w:val="00A41333"/>
    <w:rsid w:val="00A41344"/>
    <w:rsid w:val="00A41EAE"/>
    <w:rsid w:val="00A44EA1"/>
    <w:rsid w:val="00A45B12"/>
    <w:rsid w:val="00A47655"/>
    <w:rsid w:val="00A512FD"/>
    <w:rsid w:val="00A522B8"/>
    <w:rsid w:val="00A53980"/>
    <w:rsid w:val="00A53DA3"/>
    <w:rsid w:val="00A5409E"/>
    <w:rsid w:val="00A5581F"/>
    <w:rsid w:val="00A55DB2"/>
    <w:rsid w:val="00A56EA4"/>
    <w:rsid w:val="00A56FBD"/>
    <w:rsid w:val="00A61294"/>
    <w:rsid w:val="00A61986"/>
    <w:rsid w:val="00A63E82"/>
    <w:rsid w:val="00A6438D"/>
    <w:rsid w:val="00A66154"/>
    <w:rsid w:val="00A66343"/>
    <w:rsid w:val="00A66E64"/>
    <w:rsid w:val="00A66F7F"/>
    <w:rsid w:val="00A702DD"/>
    <w:rsid w:val="00A7048A"/>
    <w:rsid w:val="00A71890"/>
    <w:rsid w:val="00A718FD"/>
    <w:rsid w:val="00A72418"/>
    <w:rsid w:val="00A73C2F"/>
    <w:rsid w:val="00A73D51"/>
    <w:rsid w:val="00A747E1"/>
    <w:rsid w:val="00A80273"/>
    <w:rsid w:val="00A825B3"/>
    <w:rsid w:val="00A86A13"/>
    <w:rsid w:val="00A935FF"/>
    <w:rsid w:val="00A942E6"/>
    <w:rsid w:val="00A9649C"/>
    <w:rsid w:val="00A96DEF"/>
    <w:rsid w:val="00A97E92"/>
    <w:rsid w:val="00AA0D2E"/>
    <w:rsid w:val="00AA0F3C"/>
    <w:rsid w:val="00AA2195"/>
    <w:rsid w:val="00AA28CF"/>
    <w:rsid w:val="00AA4BCD"/>
    <w:rsid w:val="00AB1DAE"/>
    <w:rsid w:val="00AB257B"/>
    <w:rsid w:val="00AB307B"/>
    <w:rsid w:val="00AB33ED"/>
    <w:rsid w:val="00AB4759"/>
    <w:rsid w:val="00AB519B"/>
    <w:rsid w:val="00AB6E64"/>
    <w:rsid w:val="00AC0E62"/>
    <w:rsid w:val="00AC1A1D"/>
    <w:rsid w:val="00AC2C0A"/>
    <w:rsid w:val="00AC2C67"/>
    <w:rsid w:val="00AC3C8C"/>
    <w:rsid w:val="00AC565A"/>
    <w:rsid w:val="00AC78D1"/>
    <w:rsid w:val="00AC79A2"/>
    <w:rsid w:val="00AD0026"/>
    <w:rsid w:val="00AD2345"/>
    <w:rsid w:val="00AD24FC"/>
    <w:rsid w:val="00AD292F"/>
    <w:rsid w:val="00AD2BF1"/>
    <w:rsid w:val="00AD58E7"/>
    <w:rsid w:val="00AD60E1"/>
    <w:rsid w:val="00AD676D"/>
    <w:rsid w:val="00AD73B0"/>
    <w:rsid w:val="00AE490B"/>
    <w:rsid w:val="00AE5A87"/>
    <w:rsid w:val="00AF1469"/>
    <w:rsid w:val="00AF1A98"/>
    <w:rsid w:val="00AF6091"/>
    <w:rsid w:val="00AF66A8"/>
    <w:rsid w:val="00AF6945"/>
    <w:rsid w:val="00AF7D2A"/>
    <w:rsid w:val="00B0149F"/>
    <w:rsid w:val="00B03821"/>
    <w:rsid w:val="00B03894"/>
    <w:rsid w:val="00B0547B"/>
    <w:rsid w:val="00B05FEF"/>
    <w:rsid w:val="00B0635F"/>
    <w:rsid w:val="00B06D0A"/>
    <w:rsid w:val="00B06E6D"/>
    <w:rsid w:val="00B06F71"/>
    <w:rsid w:val="00B1041E"/>
    <w:rsid w:val="00B1103F"/>
    <w:rsid w:val="00B15E9E"/>
    <w:rsid w:val="00B16BE5"/>
    <w:rsid w:val="00B1727E"/>
    <w:rsid w:val="00B211E4"/>
    <w:rsid w:val="00B215B3"/>
    <w:rsid w:val="00B266C2"/>
    <w:rsid w:val="00B26DFF"/>
    <w:rsid w:val="00B27995"/>
    <w:rsid w:val="00B27EB6"/>
    <w:rsid w:val="00B30485"/>
    <w:rsid w:val="00B30E0B"/>
    <w:rsid w:val="00B31B15"/>
    <w:rsid w:val="00B3230C"/>
    <w:rsid w:val="00B358BF"/>
    <w:rsid w:val="00B37164"/>
    <w:rsid w:val="00B40513"/>
    <w:rsid w:val="00B41100"/>
    <w:rsid w:val="00B41265"/>
    <w:rsid w:val="00B4315A"/>
    <w:rsid w:val="00B4455A"/>
    <w:rsid w:val="00B44969"/>
    <w:rsid w:val="00B46B52"/>
    <w:rsid w:val="00B53183"/>
    <w:rsid w:val="00B54640"/>
    <w:rsid w:val="00B56225"/>
    <w:rsid w:val="00B60B69"/>
    <w:rsid w:val="00B60DAD"/>
    <w:rsid w:val="00B625A9"/>
    <w:rsid w:val="00B642A3"/>
    <w:rsid w:val="00B66732"/>
    <w:rsid w:val="00B70C73"/>
    <w:rsid w:val="00B7154C"/>
    <w:rsid w:val="00B7164E"/>
    <w:rsid w:val="00B722C7"/>
    <w:rsid w:val="00B7241C"/>
    <w:rsid w:val="00B73C3B"/>
    <w:rsid w:val="00B7501B"/>
    <w:rsid w:val="00B75535"/>
    <w:rsid w:val="00B755B5"/>
    <w:rsid w:val="00B75F2B"/>
    <w:rsid w:val="00B76CC7"/>
    <w:rsid w:val="00B77EEC"/>
    <w:rsid w:val="00B80BD2"/>
    <w:rsid w:val="00B815FA"/>
    <w:rsid w:val="00B822BD"/>
    <w:rsid w:val="00B849AE"/>
    <w:rsid w:val="00B84EF9"/>
    <w:rsid w:val="00B91D53"/>
    <w:rsid w:val="00B9284F"/>
    <w:rsid w:val="00B93D01"/>
    <w:rsid w:val="00B94408"/>
    <w:rsid w:val="00B94D39"/>
    <w:rsid w:val="00B95F1B"/>
    <w:rsid w:val="00BA010A"/>
    <w:rsid w:val="00BA2134"/>
    <w:rsid w:val="00BA2A94"/>
    <w:rsid w:val="00BA2FA7"/>
    <w:rsid w:val="00BA32A1"/>
    <w:rsid w:val="00BA3675"/>
    <w:rsid w:val="00BA3C89"/>
    <w:rsid w:val="00BA4BD4"/>
    <w:rsid w:val="00BA6D56"/>
    <w:rsid w:val="00BB0569"/>
    <w:rsid w:val="00BB1987"/>
    <w:rsid w:val="00BB2DAA"/>
    <w:rsid w:val="00BB354F"/>
    <w:rsid w:val="00BB6336"/>
    <w:rsid w:val="00BB7695"/>
    <w:rsid w:val="00BC2EDC"/>
    <w:rsid w:val="00BC31A5"/>
    <w:rsid w:val="00BC385F"/>
    <w:rsid w:val="00BC39F1"/>
    <w:rsid w:val="00BC3A13"/>
    <w:rsid w:val="00BC3AFA"/>
    <w:rsid w:val="00BC4B39"/>
    <w:rsid w:val="00BC6D4C"/>
    <w:rsid w:val="00BD0CB7"/>
    <w:rsid w:val="00BD1BA0"/>
    <w:rsid w:val="00BD7D92"/>
    <w:rsid w:val="00BE220E"/>
    <w:rsid w:val="00BE3731"/>
    <w:rsid w:val="00BE4247"/>
    <w:rsid w:val="00BE593C"/>
    <w:rsid w:val="00BE632C"/>
    <w:rsid w:val="00BF229B"/>
    <w:rsid w:val="00BF3969"/>
    <w:rsid w:val="00BF5BAB"/>
    <w:rsid w:val="00BF73E6"/>
    <w:rsid w:val="00BF7543"/>
    <w:rsid w:val="00BF7A3E"/>
    <w:rsid w:val="00C003DE"/>
    <w:rsid w:val="00C02262"/>
    <w:rsid w:val="00C02285"/>
    <w:rsid w:val="00C02A31"/>
    <w:rsid w:val="00C0787C"/>
    <w:rsid w:val="00C1333E"/>
    <w:rsid w:val="00C13460"/>
    <w:rsid w:val="00C1710D"/>
    <w:rsid w:val="00C218E0"/>
    <w:rsid w:val="00C234C4"/>
    <w:rsid w:val="00C23C0D"/>
    <w:rsid w:val="00C2411D"/>
    <w:rsid w:val="00C25F77"/>
    <w:rsid w:val="00C26D32"/>
    <w:rsid w:val="00C31C62"/>
    <w:rsid w:val="00C327AD"/>
    <w:rsid w:val="00C329B9"/>
    <w:rsid w:val="00C33590"/>
    <w:rsid w:val="00C3392E"/>
    <w:rsid w:val="00C36C17"/>
    <w:rsid w:val="00C4016C"/>
    <w:rsid w:val="00C40B1A"/>
    <w:rsid w:val="00C40E74"/>
    <w:rsid w:val="00C41588"/>
    <w:rsid w:val="00C4427E"/>
    <w:rsid w:val="00C467EF"/>
    <w:rsid w:val="00C477EC"/>
    <w:rsid w:val="00C47CCC"/>
    <w:rsid w:val="00C47DB3"/>
    <w:rsid w:val="00C51657"/>
    <w:rsid w:val="00C5272C"/>
    <w:rsid w:val="00C5402A"/>
    <w:rsid w:val="00C56A83"/>
    <w:rsid w:val="00C61011"/>
    <w:rsid w:val="00C6294C"/>
    <w:rsid w:val="00C62D8B"/>
    <w:rsid w:val="00C66A7B"/>
    <w:rsid w:val="00C70397"/>
    <w:rsid w:val="00C726F4"/>
    <w:rsid w:val="00C72F3D"/>
    <w:rsid w:val="00C73701"/>
    <w:rsid w:val="00C746E0"/>
    <w:rsid w:val="00C75792"/>
    <w:rsid w:val="00C76715"/>
    <w:rsid w:val="00C778FA"/>
    <w:rsid w:val="00C77A73"/>
    <w:rsid w:val="00C805EE"/>
    <w:rsid w:val="00C812B4"/>
    <w:rsid w:val="00C82BD8"/>
    <w:rsid w:val="00C844E4"/>
    <w:rsid w:val="00C85AC3"/>
    <w:rsid w:val="00C90A66"/>
    <w:rsid w:val="00C930E6"/>
    <w:rsid w:val="00C9368F"/>
    <w:rsid w:val="00C939A1"/>
    <w:rsid w:val="00CA27F7"/>
    <w:rsid w:val="00CA295D"/>
    <w:rsid w:val="00CA3F45"/>
    <w:rsid w:val="00CB0AFE"/>
    <w:rsid w:val="00CB1180"/>
    <w:rsid w:val="00CB21F1"/>
    <w:rsid w:val="00CB5F54"/>
    <w:rsid w:val="00CB755B"/>
    <w:rsid w:val="00CB766F"/>
    <w:rsid w:val="00CC05C1"/>
    <w:rsid w:val="00CC0EAE"/>
    <w:rsid w:val="00CC34C1"/>
    <w:rsid w:val="00CC4EBB"/>
    <w:rsid w:val="00CC5686"/>
    <w:rsid w:val="00CC67AA"/>
    <w:rsid w:val="00CC698A"/>
    <w:rsid w:val="00CD0006"/>
    <w:rsid w:val="00CD07DE"/>
    <w:rsid w:val="00CD100C"/>
    <w:rsid w:val="00CD4447"/>
    <w:rsid w:val="00CD4701"/>
    <w:rsid w:val="00CD527A"/>
    <w:rsid w:val="00CD76C0"/>
    <w:rsid w:val="00CE1A29"/>
    <w:rsid w:val="00CE1EC2"/>
    <w:rsid w:val="00CE2C13"/>
    <w:rsid w:val="00CE5E28"/>
    <w:rsid w:val="00CE6078"/>
    <w:rsid w:val="00CE732B"/>
    <w:rsid w:val="00CF0060"/>
    <w:rsid w:val="00CF1E99"/>
    <w:rsid w:val="00CF32DA"/>
    <w:rsid w:val="00CF3706"/>
    <w:rsid w:val="00CF4718"/>
    <w:rsid w:val="00CF58B8"/>
    <w:rsid w:val="00CF753F"/>
    <w:rsid w:val="00CF7C06"/>
    <w:rsid w:val="00D00405"/>
    <w:rsid w:val="00D00821"/>
    <w:rsid w:val="00D01F87"/>
    <w:rsid w:val="00D0202B"/>
    <w:rsid w:val="00D020DB"/>
    <w:rsid w:val="00D02318"/>
    <w:rsid w:val="00D0233B"/>
    <w:rsid w:val="00D02BD6"/>
    <w:rsid w:val="00D0441A"/>
    <w:rsid w:val="00D04482"/>
    <w:rsid w:val="00D05956"/>
    <w:rsid w:val="00D05F5E"/>
    <w:rsid w:val="00D07EF1"/>
    <w:rsid w:val="00D104A8"/>
    <w:rsid w:val="00D10948"/>
    <w:rsid w:val="00D13D84"/>
    <w:rsid w:val="00D13ED0"/>
    <w:rsid w:val="00D141BB"/>
    <w:rsid w:val="00D14426"/>
    <w:rsid w:val="00D147EB"/>
    <w:rsid w:val="00D149D1"/>
    <w:rsid w:val="00D151FB"/>
    <w:rsid w:val="00D16CA1"/>
    <w:rsid w:val="00D20636"/>
    <w:rsid w:val="00D217EA"/>
    <w:rsid w:val="00D258CD"/>
    <w:rsid w:val="00D25FAD"/>
    <w:rsid w:val="00D26258"/>
    <w:rsid w:val="00D33D8F"/>
    <w:rsid w:val="00D341AE"/>
    <w:rsid w:val="00D343C4"/>
    <w:rsid w:val="00D345DD"/>
    <w:rsid w:val="00D34FD0"/>
    <w:rsid w:val="00D3545F"/>
    <w:rsid w:val="00D420FC"/>
    <w:rsid w:val="00D46AE7"/>
    <w:rsid w:val="00D47AC3"/>
    <w:rsid w:val="00D509F7"/>
    <w:rsid w:val="00D534D8"/>
    <w:rsid w:val="00D544C6"/>
    <w:rsid w:val="00D54585"/>
    <w:rsid w:val="00D54F7F"/>
    <w:rsid w:val="00D57D6C"/>
    <w:rsid w:val="00D60930"/>
    <w:rsid w:val="00D635DA"/>
    <w:rsid w:val="00D642C3"/>
    <w:rsid w:val="00D64328"/>
    <w:rsid w:val="00D64830"/>
    <w:rsid w:val="00D656BA"/>
    <w:rsid w:val="00D66761"/>
    <w:rsid w:val="00D74BDB"/>
    <w:rsid w:val="00D80C1A"/>
    <w:rsid w:val="00D81C2F"/>
    <w:rsid w:val="00D84191"/>
    <w:rsid w:val="00D84D33"/>
    <w:rsid w:val="00D84EAA"/>
    <w:rsid w:val="00D90F3F"/>
    <w:rsid w:val="00D95019"/>
    <w:rsid w:val="00D954C5"/>
    <w:rsid w:val="00D95C2F"/>
    <w:rsid w:val="00D960F7"/>
    <w:rsid w:val="00D9794C"/>
    <w:rsid w:val="00DA24B4"/>
    <w:rsid w:val="00DA2738"/>
    <w:rsid w:val="00DA29F4"/>
    <w:rsid w:val="00DA2C4F"/>
    <w:rsid w:val="00DA510C"/>
    <w:rsid w:val="00DA77E0"/>
    <w:rsid w:val="00DB0406"/>
    <w:rsid w:val="00DB0786"/>
    <w:rsid w:val="00DB4589"/>
    <w:rsid w:val="00DB693B"/>
    <w:rsid w:val="00DB7209"/>
    <w:rsid w:val="00DC0948"/>
    <w:rsid w:val="00DC171F"/>
    <w:rsid w:val="00DC3BD7"/>
    <w:rsid w:val="00DC470D"/>
    <w:rsid w:val="00DC548C"/>
    <w:rsid w:val="00DC5495"/>
    <w:rsid w:val="00DC6E47"/>
    <w:rsid w:val="00DC7616"/>
    <w:rsid w:val="00DD1955"/>
    <w:rsid w:val="00DD22BE"/>
    <w:rsid w:val="00DD4E36"/>
    <w:rsid w:val="00DD5396"/>
    <w:rsid w:val="00DD5427"/>
    <w:rsid w:val="00DD6520"/>
    <w:rsid w:val="00DD6582"/>
    <w:rsid w:val="00DD6653"/>
    <w:rsid w:val="00DD76B7"/>
    <w:rsid w:val="00DE0490"/>
    <w:rsid w:val="00DE0711"/>
    <w:rsid w:val="00DE23C3"/>
    <w:rsid w:val="00DE3064"/>
    <w:rsid w:val="00DE3AFF"/>
    <w:rsid w:val="00DE4648"/>
    <w:rsid w:val="00DE5F93"/>
    <w:rsid w:val="00DE64CC"/>
    <w:rsid w:val="00DF01B1"/>
    <w:rsid w:val="00DF18F4"/>
    <w:rsid w:val="00DF31C8"/>
    <w:rsid w:val="00DF437F"/>
    <w:rsid w:val="00DF6907"/>
    <w:rsid w:val="00E025D3"/>
    <w:rsid w:val="00E04657"/>
    <w:rsid w:val="00E05F26"/>
    <w:rsid w:val="00E06603"/>
    <w:rsid w:val="00E1250E"/>
    <w:rsid w:val="00E13A46"/>
    <w:rsid w:val="00E143AD"/>
    <w:rsid w:val="00E1491F"/>
    <w:rsid w:val="00E16B6D"/>
    <w:rsid w:val="00E1792A"/>
    <w:rsid w:val="00E24AEE"/>
    <w:rsid w:val="00E2541F"/>
    <w:rsid w:val="00E3288B"/>
    <w:rsid w:val="00E32B83"/>
    <w:rsid w:val="00E33E1A"/>
    <w:rsid w:val="00E34DE1"/>
    <w:rsid w:val="00E3505F"/>
    <w:rsid w:val="00E35AE2"/>
    <w:rsid w:val="00E364BC"/>
    <w:rsid w:val="00E37787"/>
    <w:rsid w:val="00E37A5F"/>
    <w:rsid w:val="00E4065E"/>
    <w:rsid w:val="00E41321"/>
    <w:rsid w:val="00E42246"/>
    <w:rsid w:val="00E433C2"/>
    <w:rsid w:val="00E45CC3"/>
    <w:rsid w:val="00E45F85"/>
    <w:rsid w:val="00E46746"/>
    <w:rsid w:val="00E500AE"/>
    <w:rsid w:val="00E51001"/>
    <w:rsid w:val="00E5258A"/>
    <w:rsid w:val="00E575AF"/>
    <w:rsid w:val="00E57F93"/>
    <w:rsid w:val="00E605EC"/>
    <w:rsid w:val="00E609BB"/>
    <w:rsid w:val="00E620D3"/>
    <w:rsid w:val="00E621CF"/>
    <w:rsid w:val="00E63ABD"/>
    <w:rsid w:val="00E6581D"/>
    <w:rsid w:val="00E70FF0"/>
    <w:rsid w:val="00E714B6"/>
    <w:rsid w:val="00E71B95"/>
    <w:rsid w:val="00E7355E"/>
    <w:rsid w:val="00E76704"/>
    <w:rsid w:val="00E7717A"/>
    <w:rsid w:val="00E7797F"/>
    <w:rsid w:val="00E81E7C"/>
    <w:rsid w:val="00E82399"/>
    <w:rsid w:val="00E830B7"/>
    <w:rsid w:val="00E90023"/>
    <w:rsid w:val="00E917F4"/>
    <w:rsid w:val="00E91D42"/>
    <w:rsid w:val="00E94133"/>
    <w:rsid w:val="00E96CA7"/>
    <w:rsid w:val="00EA02F2"/>
    <w:rsid w:val="00EA0C31"/>
    <w:rsid w:val="00EA109E"/>
    <w:rsid w:val="00EA1E18"/>
    <w:rsid w:val="00EA225E"/>
    <w:rsid w:val="00EA40B6"/>
    <w:rsid w:val="00EA58A8"/>
    <w:rsid w:val="00EB0161"/>
    <w:rsid w:val="00EB16C7"/>
    <w:rsid w:val="00EB1F18"/>
    <w:rsid w:val="00EB355F"/>
    <w:rsid w:val="00EB52E3"/>
    <w:rsid w:val="00EB6985"/>
    <w:rsid w:val="00EB6D67"/>
    <w:rsid w:val="00EC0CB0"/>
    <w:rsid w:val="00EC2F30"/>
    <w:rsid w:val="00EC3B51"/>
    <w:rsid w:val="00EC63B3"/>
    <w:rsid w:val="00EC71B0"/>
    <w:rsid w:val="00ED0126"/>
    <w:rsid w:val="00ED2561"/>
    <w:rsid w:val="00ED7C98"/>
    <w:rsid w:val="00EE10D0"/>
    <w:rsid w:val="00EE1691"/>
    <w:rsid w:val="00EE1787"/>
    <w:rsid w:val="00EE201C"/>
    <w:rsid w:val="00EE46EC"/>
    <w:rsid w:val="00EE676C"/>
    <w:rsid w:val="00EF08A9"/>
    <w:rsid w:val="00EF0D2A"/>
    <w:rsid w:val="00EF14D6"/>
    <w:rsid w:val="00EF4367"/>
    <w:rsid w:val="00EF4C91"/>
    <w:rsid w:val="00EF6A42"/>
    <w:rsid w:val="00F00845"/>
    <w:rsid w:val="00F02218"/>
    <w:rsid w:val="00F02FB0"/>
    <w:rsid w:val="00F03AC0"/>
    <w:rsid w:val="00F04FA9"/>
    <w:rsid w:val="00F05405"/>
    <w:rsid w:val="00F0568C"/>
    <w:rsid w:val="00F0620D"/>
    <w:rsid w:val="00F073A6"/>
    <w:rsid w:val="00F07DD5"/>
    <w:rsid w:val="00F13107"/>
    <w:rsid w:val="00F13340"/>
    <w:rsid w:val="00F14607"/>
    <w:rsid w:val="00F1656B"/>
    <w:rsid w:val="00F169A5"/>
    <w:rsid w:val="00F16EFC"/>
    <w:rsid w:val="00F175C7"/>
    <w:rsid w:val="00F2283A"/>
    <w:rsid w:val="00F24DAD"/>
    <w:rsid w:val="00F25F02"/>
    <w:rsid w:val="00F26020"/>
    <w:rsid w:val="00F2755E"/>
    <w:rsid w:val="00F31971"/>
    <w:rsid w:val="00F32BF5"/>
    <w:rsid w:val="00F343B7"/>
    <w:rsid w:val="00F35ACB"/>
    <w:rsid w:val="00F36384"/>
    <w:rsid w:val="00F36C7E"/>
    <w:rsid w:val="00F377C9"/>
    <w:rsid w:val="00F41756"/>
    <w:rsid w:val="00F41892"/>
    <w:rsid w:val="00F43AFA"/>
    <w:rsid w:val="00F457BC"/>
    <w:rsid w:val="00F46E72"/>
    <w:rsid w:val="00F47751"/>
    <w:rsid w:val="00F479F1"/>
    <w:rsid w:val="00F47AF2"/>
    <w:rsid w:val="00F47EF9"/>
    <w:rsid w:val="00F522DC"/>
    <w:rsid w:val="00F5387C"/>
    <w:rsid w:val="00F538FB"/>
    <w:rsid w:val="00F56FFB"/>
    <w:rsid w:val="00F60322"/>
    <w:rsid w:val="00F64FDB"/>
    <w:rsid w:val="00F67E11"/>
    <w:rsid w:val="00F67E2A"/>
    <w:rsid w:val="00F702CA"/>
    <w:rsid w:val="00F71067"/>
    <w:rsid w:val="00F71A07"/>
    <w:rsid w:val="00F721D4"/>
    <w:rsid w:val="00F749D3"/>
    <w:rsid w:val="00F74AF4"/>
    <w:rsid w:val="00F75A9F"/>
    <w:rsid w:val="00F802BE"/>
    <w:rsid w:val="00F80FF4"/>
    <w:rsid w:val="00F83DEF"/>
    <w:rsid w:val="00F845E1"/>
    <w:rsid w:val="00F854B0"/>
    <w:rsid w:val="00F87500"/>
    <w:rsid w:val="00F87501"/>
    <w:rsid w:val="00F87948"/>
    <w:rsid w:val="00F92C66"/>
    <w:rsid w:val="00F93100"/>
    <w:rsid w:val="00FA7D2B"/>
    <w:rsid w:val="00FB04F4"/>
    <w:rsid w:val="00FB065D"/>
    <w:rsid w:val="00FB1058"/>
    <w:rsid w:val="00FB246A"/>
    <w:rsid w:val="00FB40B9"/>
    <w:rsid w:val="00FB5C07"/>
    <w:rsid w:val="00FB6EB2"/>
    <w:rsid w:val="00FB75DA"/>
    <w:rsid w:val="00FC20DA"/>
    <w:rsid w:val="00FC4AD7"/>
    <w:rsid w:val="00FC5196"/>
    <w:rsid w:val="00FC541D"/>
    <w:rsid w:val="00FC61F8"/>
    <w:rsid w:val="00FC6E2C"/>
    <w:rsid w:val="00FD37A8"/>
    <w:rsid w:val="00FD4FDB"/>
    <w:rsid w:val="00FE0A93"/>
    <w:rsid w:val="00FE2768"/>
    <w:rsid w:val="00FE4194"/>
    <w:rsid w:val="00FE627F"/>
    <w:rsid w:val="00FE7777"/>
    <w:rsid w:val="00FF0867"/>
    <w:rsid w:val="00FF0B38"/>
    <w:rsid w:val="00FF2A8B"/>
    <w:rsid w:val="00FF37D5"/>
    <w:rsid w:val="00FF3F0C"/>
    <w:rsid w:val="00FF76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F4C9"/>
  <w15:docId w15:val="{F0DACEF5-1470-4DA9-BE19-4F14335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style>
  <w:style w:type="character" w:customStyle="1" w:styleId="Zkladntext2Char">
    <w:name w:val="Základní text 2 Char"/>
    <w:link w:val="Zkladntext2"/>
    <w:uiPriority w:val="99"/>
    <w:rsid w:val="00A9649C"/>
    <w:rPr>
      <w:sz w:val="22"/>
      <w:szCs w:val="22"/>
      <w:lang w:eastAsia="en-US"/>
    </w:rPr>
  </w:style>
  <w:style w:type="paragraph" w:customStyle="1" w:styleId="Default">
    <w:name w:val="Default"/>
    <w:rsid w:val="002723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596016370">
      <w:bodyDiv w:val="1"/>
      <w:marLeft w:val="0"/>
      <w:marRight w:val="0"/>
      <w:marTop w:val="0"/>
      <w:marBottom w:val="0"/>
      <w:divBdr>
        <w:top w:val="none" w:sz="0" w:space="0" w:color="auto"/>
        <w:left w:val="none" w:sz="0" w:space="0" w:color="auto"/>
        <w:bottom w:val="none" w:sz="0" w:space="0" w:color="auto"/>
        <w:right w:val="none" w:sz="0" w:space="0" w:color="auto"/>
      </w:divBdr>
    </w:div>
    <w:div w:id="700865638">
      <w:bodyDiv w:val="1"/>
      <w:marLeft w:val="0"/>
      <w:marRight w:val="0"/>
      <w:marTop w:val="0"/>
      <w:marBottom w:val="0"/>
      <w:divBdr>
        <w:top w:val="none" w:sz="0" w:space="0" w:color="auto"/>
        <w:left w:val="none" w:sz="0" w:space="0" w:color="auto"/>
        <w:bottom w:val="none" w:sz="0" w:space="0" w:color="auto"/>
        <w:right w:val="none" w:sz="0" w:space="0" w:color="auto"/>
      </w:divBdr>
    </w:div>
    <w:div w:id="1189946023">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 w:id="1764960436">
      <w:bodyDiv w:val="1"/>
      <w:marLeft w:val="0"/>
      <w:marRight w:val="0"/>
      <w:marTop w:val="0"/>
      <w:marBottom w:val="0"/>
      <w:divBdr>
        <w:top w:val="none" w:sz="0" w:space="0" w:color="auto"/>
        <w:left w:val="none" w:sz="0" w:space="0" w:color="auto"/>
        <w:bottom w:val="none" w:sz="0" w:space="0" w:color="auto"/>
        <w:right w:val="none" w:sz="0" w:space="0" w:color="auto"/>
      </w:divBdr>
    </w:div>
    <w:div w:id="21177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C458-F0C6-40D9-A207-9F256C2A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1255</Words>
  <Characters>7410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ITTNEROVÁ Petra, Bc., DiS.</cp:lastModifiedBy>
  <cp:revision>48</cp:revision>
  <cp:lastPrinted>2022-07-07T06:54:00Z</cp:lastPrinted>
  <dcterms:created xsi:type="dcterms:W3CDTF">2023-08-14T13:16:00Z</dcterms:created>
  <dcterms:modified xsi:type="dcterms:W3CDTF">2023-09-12T11:50:00Z</dcterms:modified>
</cp:coreProperties>
</file>