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B2DAF" w14:textId="77777777" w:rsidR="004B58BB" w:rsidRDefault="004B58BB">
      <w:r>
        <w:rPr>
          <w:b/>
          <w:bCs/>
          <w:noProof/>
          <w:spacing w:val="4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F721CA" wp14:editId="05D829DD">
            <wp:simplePos x="1143000" y="1066800"/>
            <wp:positionH relativeFrom="margin">
              <wp:align>center</wp:align>
            </wp:positionH>
            <wp:positionV relativeFrom="margin">
              <wp:align>top</wp:align>
            </wp:positionV>
            <wp:extent cx="765175" cy="861695"/>
            <wp:effectExtent l="0" t="0" r="0" b="0"/>
            <wp:wrapSquare wrapText="bothSides"/>
            <wp:docPr id="2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45530" w14:textId="77777777" w:rsidR="004B58BB" w:rsidRPr="004B58BB" w:rsidRDefault="004B58BB" w:rsidP="004B58BB"/>
    <w:p w14:paraId="71F4D845" w14:textId="77777777" w:rsidR="004B58BB" w:rsidRPr="004B58BB" w:rsidRDefault="004B58BB" w:rsidP="004B58BB"/>
    <w:p w14:paraId="5919B3FE" w14:textId="77777777" w:rsidR="004B58BB" w:rsidRDefault="004B58BB" w:rsidP="004B58BB"/>
    <w:p w14:paraId="4A1B0AE3" w14:textId="77777777" w:rsidR="004B58BB" w:rsidRPr="004B58BB" w:rsidRDefault="004B58BB" w:rsidP="004E2DBF">
      <w:pPr>
        <w:keepNext/>
        <w:spacing w:before="238" w:after="0" w:line="276" w:lineRule="auto"/>
        <w:jc w:val="center"/>
        <w:rPr>
          <w:rFonts w:ascii="Book Antiqua" w:eastAsia="Times New Roman" w:hAnsi="Book Antiqua" w:cs="Times New Roman"/>
          <w:sz w:val="28"/>
          <w:szCs w:val="28"/>
          <w:lang w:eastAsia="cs-CZ"/>
        </w:rPr>
      </w:pPr>
      <w:r w:rsidRPr="004B58BB">
        <w:rPr>
          <w:rFonts w:ascii="Book Antiqua" w:eastAsia="Times New Roman" w:hAnsi="Book Antiqua" w:cs="Times New Roman"/>
          <w:b/>
          <w:bCs/>
          <w:sz w:val="28"/>
          <w:szCs w:val="28"/>
          <w:lang w:eastAsia="cs-CZ"/>
        </w:rPr>
        <w:t>Obec Karlova Studánka</w:t>
      </w:r>
      <w:r w:rsidRPr="004B58BB">
        <w:rPr>
          <w:rFonts w:ascii="Book Antiqua" w:eastAsia="Times New Roman" w:hAnsi="Book Antiqua" w:cs="Times New Roman"/>
          <w:b/>
          <w:bCs/>
          <w:sz w:val="28"/>
          <w:szCs w:val="28"/>
          <w:lang w:eastAsia="cs-CZ"/>
        </w:rPr>
        <w:br/>
        <w:t>Zastupitelstvo obce Karlova Studánka</w:t>
      </w:r>
    </w:p>
    <w:p w14:paraId="0A7D8AB9" w14:textId="77777777" w:rsidR="004B58BB" w:rsidRPr="004B58BB" w:rsidRDefault="004B58BB" w:rsidP="005B67A7">
      <w:pPr>
        <w:spacing w:before="238" w:after="240" w:line="276" w:lineRule="auto"/>
        <w:jc w:val="center"/>
        <w:outlineLvl w:val="0"/>
        <w:rPr>
          <w:rFonts w:ascii="Book Antiqua" w:eastAsia="Times New Roman" w:hAnsi="Book Antiqua" w:cs="Arial"/>
          <w:b/>
          <w:bCs/>
          <w:kern w:val="36"/>
          <w:sz w:val="28"/>
          <w:szCs w:val="28"/>
          <w:lang w:eastAsia="cs-CZ"/>
        </w:rPr>
      </w:pPr>
      <w:r w:rsidRPr="004B58BB">
        <w:rPr>
          <w:rFonts w:ascii="Book Antiqua" w:eastAsia="Times New Roman" w:hAnsi="Book Antiqua" w:cs="Arial"/>
          <w:b/>
          <w:bCs/>
          <w:kern w:val="36"/>
          <w:sz w:val="28"/>
          <w:szCs w:val="28"/>
          <w:lang w:eastAsia="cs-CZ"/>
        </w:rPr>
        <w:t>Obecně závazná vyhláška obce Karlova Studánka</w:t>
      </w:r>
      <w:r w:rsidRPr="004B58BB">
        <w:rPr>
          <w:rFonts w:ascii="Book Antiqua" w:eastAsia="Times New Roman" w:hAnsi="Book Antiqua" w:cs="Arial"/>
          <w:b/>
          <w:bCs/>
          <w:kern w:val="36"/>
          <w:sz w:val="28"/>
          <w:szCs w:val="28"/>
          <w:lang w:eastAsia="cs-CZ"/>
        </w:rPr>
        <w:br/>
        <w:t>o místním poplatku za obecní systém odpadového hospodářství</w:t>
      </w:r>
    </w:p>
    <w:p w14:paraId="0D3F9009" w14:textId="4D541B0B" w:rsidR="004B58BB" w:rsidRPr="004B58BB" w:rsidRDefault="004B58BB" w:rsidP="004B58BB">
      <w:pPr>
        <w:spacing w:before="62" w:after="119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 xml:space="preserve">Zastupitelstvo obce Karlova Studánka se na svém zasedání dne 2. prosince 2024 </w:t>
      </w:r>
      <w:r w:rsidR="00E731DB" w:rsidRPr="006B1B26">
        <w:rPr>
          <w:rFonts w:ascii="Book Antiqua" w:hAnsi="Book Antiqua"/>
        </w:rPr>
        <w:t xml:space="preserve">usnesením </w:t>
      </w:r>
      <w:r w:rsidR="00E731DB">
        <w:rPr>
          <w:rFonts w:ascii="Book Antiqua" w:hAnsi="Book Antiqua"/>
        </w:rPr>
        <w:t>č</w:t>
      </w:r>
      <w:r w:rsidR="00E731DB" w:rsidRPr="004E2DBF">
        <w:rPr>
          <w:rFonts w:ascii="Book Antiqua" w:hAnsi="Book Antiqua"/>
          <w:b/>
          <w:sz w:val="24"/>
          <w:szCs w:val="24"/>
        </w:rPr>
        <w:t xml:space="preserve">. </w:t>
      </w:r>
      <w:r w:rsidR="004E2DBF" w:rsidRPr="004E2DBF">
        <w:rPr>
          <w:rFonts w:ascii="Book Antiqua" w:hAnsi="Book Antiqua"/>
          <w:sz w:val="24"/>
          <w:szCs w:val="24"/>
        </w:rPr>
        <w:t>497/11/24</w:t>
      </w:r>
      <w:r w:rsidR="00E731DB" w:rsidRPr="004E2DBF">
        <w:rPr>
          <w:rFonts w:ascii="Book Antiqua" w:hAnsi="Book Antiqua"/>
          <w:b/>
          <w:sz w:val="24"/>
          <w:szCs w:val="24"/>
        </w:rPr>
        <w:t xml:space="preserve"> </w:t>
      </w:r>
      <w:r w:rsidRPr="004E2DBF">
        <w:rPr>
          <w:rFonts w:ascii="Book Antiqua" w:eastAsia="Times New Roman" w:hAnsi="Book Antiqua" w:cs="Arial"/>
          <w:sz w:val="24"/>
          <w:szCs w:val="24"/>
          <w:lang w:eastAsia="cs-CZ"/>
        </w:rPr>
        <w:t>usneslo</w:t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A855EEB" w14:textId="77777777" w:rsidR="004B58BB" w:rsidRPr="004B58BB" w:rsidRDefault="004B58BB" w:rsidP="004B58BB">
      <w:pPr>
        <w:spacing w:before="363" w:after="100" w:afterAutospacing="1" w:line="276" w:lineRule="auto"/>
        <w:jc w:val="center"/>
        <w:outlineLvl w:val="1"/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Čl. 1</w:t>
      </w: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br/>
        <w:t>Úvodní ustanovení</w:t>
      </w:r>
    </w:p>
    <w:p w14:paraId="4997394F" w14:textId="77777777" w:rsidR="004B58BB" w:rsidRPr="004B58BB" w:rsidRDefault="004B58BB" w:rsidP="00D92653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76" w:lineRule="auto"/>
        <w:ind w:left="426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Obec Karlova Studánka touto vyhláškou zavádí místní poplatek za obecní systém odpadového hospodářství (dále jen „poplatek“).</w:t>
      </w:r>
    </w:p>
    <w:p w14:paraId="497E60AB" w14:textId="77777777" w:rsidR="004B58BB" w:rsidRPr="004B58BB" w:rsidRDefault="004B58BB" w:rsidP="00D92653">
      <w:pPr>
        <w:numPr>
          <w:ilvl w:val="0"/>
          <w:numId w:val="1"/>
        </w:numPr>
        <w:spacing w:after="120" w:line="276" w:lineRule="auto"/>
        <w:ind w:left="426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Poplatkovým ob</w:t>
      </w:r>
      <w:r w:rsidRPr="00E731DB">
        <w:rPr>
          <w:rFonts w:ascii="Book Antiqua" w:eastAsia="Times New Roman" w:hAnsi="Book Antiqua" w:cs="Arial"/>
          <w:sz w:val="24"/>
          <w:szCs w:val="24"/>
          <w:lang w:eastAsia="cs-CZ"/>
        </w:rPr>
        <w:t>dobím poplatku je kalendářní rok</w:t>
      </w:r>
      <w:r w:rsidRPr="00E731DB">
        <w:rPr>
          <w:rStyle w:val="Znakapoznpodarou"/>
          <w:rFonts w:ascii="Book Antiqua" w:eastAsia="Times New Roman" w:hAnsi="Book Antiqua" w:cs="Arial"/>
          <w:sz w:val="24"/>
          <w:szCs w:val="24"/>
          <w:lang w:eastAsia="cs-CZ"/>
        </w:rPr>
        <w:footnoteReference w:id="1"/>
      </w:r>
      <w:r w:rsidRPr="00E731DB">
        <w:rPr>
          <w:rFonts w:ascii="Book Antiqua" w:eastAsia="Times New Roman" w:hAnsi="Book Antiqua" w:cs="Arial"/>
          <w:sz w:val="24"/>
          <w:szCs w:val="24"/>
          <w:lang w:eastAsia="cs-CZ"/>
        </w:rPr>
        <w:t>.</w:t>
      </w:r>
    </w:p>
    <w:p w14:paraId="104F5937" w14:textId="4AB89A8B" w:rsidR="004B58BB" w:rsidRPr="004B58BB" w:rsidRDefault="004B58BB" w:rsidP="00D92653">
      <w:pPr>
        <w:numPr>
          <w:ilvl w:val="0"/>
          <w:numId w:val="1"/>
        </w:numPr>
        <w:spacing w:after="120" w:line="276" w:lineRule="auto"/>
        <w:ind w:left="426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bookmarkStart w:id="0" w:name="sdfootnote2anc"/>
      <w:r w:rsidRPr="00E731DB">
        <w:rPr>
          <w:rFonts w:ascii="Book Antiqua" w:eastAsia="Times New Roman" w:hAnsi="Book Antiqua" w:cs="Arial"/>
          <w:sz w:val="24"/>
          <w:szCs w:val="24"/>
          <w:lang w:eastAsia="cs-CZ"/>
        </w:rPr>
        <w:t>Správcem poplatku je obecní úřad</w:t>
      </w:r>
      <w:bookmarkEnd w:id="0"/>
      <w:r w:rsidRPr="00E731DB">
        <w:rPr>
          <w:rStyle w:val="Znakapoznpodarou"/>
          <w:rFonts w:ascii="Book Antiqua" w:eastAsia="Times New Roman" w:hAnsi="Book Antiqua" w:cs="Arial"/>
          <w:sz w:val="24"/>
          <w:szCs w:val="24"/>
          <w:lang w:eastAsia="cs-CZ"/>
        </w:rPr>
        <w:footnoteReference w:id="2"/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.</w:t>
      </w:r>
    </w:p>
    <w:p w14:paraId="4F1E4555" w14:textId="77777777" w:rsidR="004B58BB" w:rsidRPr="004B58BB" w:rsidRDefault="004B58BB" w:rsidP="004B58BB">
      <w:pPr>
        <w:spacing w:before="363" w:after="100" w:afterAutospacing="1" w:line="276" w:lineRule="auto"/>
        <w:jc w:val="center"/>
        <w:outlineLvl w:val="1"/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Čl. 2</w:t>
      </w: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br/>
        <w:t>Poplatník</w:t>
      </w:r>
    </w:p>
    <w:p w14:paraId="5756AA1D" w14:textId="77777777" w:rsidR="004B58BB" w:rsidRPr="004B58BB" w:rsidRDefault="004B58BB" w:rsidP="00D92653">
      <w:pPr>
        <w:numPr>
          <w:ilvl w:val="0"/>
          <w:numId w:val="2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Poplatníkem poplatku je</w:t>
      </w:r>
      <w:r w:rsidRPr="00E731DB">
        <w:rPr>
          <w:rStyle w:val="Znakapoznpodarou"/>
          <w:rFonts w:ascii="Book Antiqua" w:eastAsia="Times New Roman" w:hAnsi="Book Antiqua" w:cs="Arial"/>
          <w:sz w:val="24"/>
          <w:szCs w:val="24"/>
          <w:lang w:eastAsia="cs-CZ"/>
        </w:rPr>
        <w:footnoteReference w:id="3"/>
      </w:r>
    </w:p>
    <w:p w14:paraId="32C90B61" w14:textId="77777777" w:rsidR="004B58BB" w:rsidRPr="004B58BB" w:rsidRDefault="004B58BB" w:rsidP="00D92653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0" w:line="276" w:lineRule="auto"/>
        <w:ind w:left="993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fyzická osoba přihlášená v obci</w:t>
      </w:r>
      <w:r w:rsidRPr="00E731DB">
        <w:rPr>
          <w:rStyle w:val="Znakapoznpodarou"/>
          <w:rFonts w:ascii="Book Antiqua" w:eastAsia="Times New Roman" w:hAnsi="Book Antiqua" w:cs="Arial"/>
          <w:sz w:val="24"/>
          <w:szCs w:val="24"/>
          <w:lang w:eastAsia="cs-CZ"/>
        </w:rPr>
        <w:footnoteReference w:id="4"/>
      </w:r>
    </w:p>
    <w:p w14:paraId="65C650D8" w14:textId="71037881" w:rsidR="004B58BB" w:rsidRPr="004B58BB" w:rsidRDefault="004B58BB" w:rsidP="00D92653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20" w:line="276" w:lineRule="auto"/>
        <w:ind w:left="993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lastRenderedPageBreak/>
        <w:t>nebo vlastník nemovité věci zahrnující byt, rodinný dům nebo stavbu pro rodinnou rekreaci, ve které není přihlášená žádná fyzická osoba a</w:t>
      </w:r>
      <w:r w:rsidR="00CD2333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která</w:t>
      </w:r>
      <w:r w:rsidR="00535E4B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je umístěna na území obce.</w:t>
      </w:r>
    </w:p>
    <w:p w14:paraId="041848B0" w14:textId="0B6B5587" w:rsidR="004B58BB" w:rsidRPr="004B58BB" w:rsidRDefault="004B58BB" w:rsidP="00D92653">
      <w:pPr>
        <w:numPr>
          <w:ilvl w:val="0"/>
          <w:numId w:val="2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Spoluvlastníci nemovité věci zahrnující byt, rodinný dům nebo stavbu pro rodinnou rekreaci jsou povinni plnit poplatkovou povinnost společně a</w:t>
      </w:r>
      <w:r w:rsidR="00CD2333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nerozdílně</w:t>
      </w:r>
      <w:r w:rsidRPr="00E731DB">
        <w:rPr>
          <w:rStyle w:val="Znakapoznpodarou"/>
          <w:rFonts w:ascii="Book Antiqua" w:eastAsia="Times New Roman" w:hAnsi="Book Antiqua" w:cs="Arial"/>
          <w:sz w:val="24"/>
          <w:szCs w:val="24"/>
          <w:lang w:eastAsia="cs-CZ"/>
        </w:rPr>
        <w:footnoteReference w:id="5"/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.</w:t>
      </w:r>
    </w:p>
    <w:p w14:paraId="32A92FBA" w14:textId="77777777" w:rsidR="004B58BB" w:rsidRPr="004B58BB" w:rsidRDefault="004B58BB" w:rsidP="004B58BB">
      <w:pPr>
        <w:spacing w:before="363" w:after="100" w:afterAutospacing="1" w:line="276" w:lineRule="auto"/>
        <w:jc w:val="center"/>
        <w:outlineLvl w:val="1"/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Čl. 3</w:t>
      </w: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br/>
        <w:t>Ohlašovací povinnost</w:t>
      </w:r>
    </w:p>
    <w:p w14:paraId="1F98B75B" w14:textId="77777777" w:rsidR="004B58BB" w:rsidRPr="004B58BB" w:rsidRDefault="004B58BB" w:rsidP="00D92653">
      <w:pPr>
        <w:numPr>
          <w:ilvl w:val="0"/>
          <w:numId w:val="3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Poplatník je povinen podat správci poplatku ohlášení nejpozději do 15 dnů ode dne vzniku své poplatkové povinnosti; údaje uváděné v ohlášení upravuje zákon</w:t>
      </w:r>
      <w:r w:rsidRPr="00E731DB">
        <w:rPr>
          <w:rStyle w:val="Znakapoznpodarou"/>
          <w:rFonts w:ascii="Book Antiqua" w:eastAsia="Times New Roman" w:hAnsi="Book Antiqua" w:cs="Arial"/>
          <w:sz w:val="24"/>
          <w:szCs w:val="24"/>
          <w:lang w:eastAsia="cs-CZ"/>
        </w:rPr>
        <w:footnoteReference w:id="6"/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.</w:t>
      </w:r>
    </w:p>
    <w:p w14:paraId="40BEEE28" w14:textId="77777777" w:rsidR="004B58BB" w:rsidRPr="004B58BB" w:rsidRDefault="004B58BB" w:rsidP="00D92653">
      <w:pPr>
        <w:numPr>
          <w:ilvl w:val="0"/>
          <w:numId w:val="3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Dojde-li ke změně údajů uvedených v ohlášení, je poplatník povinen tuto změnu oznámit do 15 dnů ode dne, kdy nastala</w:t>
      </w:r>
      <w:r w:rsidRPr="00E731DB">
        <w:rPr>
          <w:rStyle w:val="Znakapoznpodarou"/>
          <w:rFonts w:ascii="Book Antiqua" w:eastAsia="Times New Roman" w:hAnsi="Book Antiqua" w:cs="Arial"/>
          <w:sz w:val="24"/>
          <w:szCs w:val="24"/>
          <w:lang w:eastAsia="cs-CZ"/>
        </w:rPr>
        <w:footnoteReference w:id="7"/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.</w:t>
      </w:r>
    </w:p>
    <w:p w14:paraId="77C35509" w14:textId="77777777" w:rsidR="004B58BB" w:rsidRPr="004B58BB" w:rsidRDefault="004B58BB" w:rsidP="004B58BB">
      <w:pPr>
        <w:spacing w:before="363" w:after="100" w:afterAutospacing="1" w:line="276" w:lineRule="auto"/>
        <w:jc w:val="center"/>
        <w:outlineLvl w:val="1"/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Čl. 4</w:t>
      </w: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br/>
        <w:t>Sazba poplatku</w:t>
      </w:r>
    </w:p>
    <w:p w14:paraId="1BA238AD" w14:textId="0029D94A" w:rsidR="004B58BB" w:rsidRPr="004B58BB" w:rsidRDefault="004B58BB" w:rsidP="00D92653">
      <w:pPr>
        <w:numPr>
          <w:ilvl w:val="0"/>
          <w:numId w:val="4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 xml:space="preserve">Sazba poplatku za kalendářní rok činí </w:t>
      </w:r>
      <w:r w:rsidR="00BF4D88" w:rsidRPr="00D21D80">
        <w:rPr>
          <w:rFonts w:ascii="Book Antiqua" w:eastAsia="Times New Roman" w:hAnsi="Book Antiqua" w:cs="Arial"/>
          <w:sz w:val="24"/>
          <w:szCs w:val="24"/>
          <w:lang w:eastAsia="cs-CZ"/>
        </w:rPr>
        <w:t>1 000,-</w:t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 Kč.</w:t>
      </w:r>
    </w:p>
    <w:p w14:paraId="396508CF" w14:textId="77777777" w:rsidR="004B58BB" w:rsidRPr="004B58BB" w:rsidRDefault="004B58BB" w:rsidP="00D92653">
      <w:pPr>
        <w:numPr>
          <w:ilvl w:val="0"/>
          <w:numId w:val="4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proofErr w:type="gramStart"/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Poplatek</w:t>
      </w:r>
      <w:proofErr w:type="gramEnd"/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konci</w:t>
      </w:r>
      <w:proofErr w:type="gramEnd"/>
      <w:r w:rsidRPr="00E731DB">
        <w:rPr>
          <w:rStyle w:val="Znakapoznpodarou"/>
          <w:rFonts w:ascii="Book Antiqua" w:eastAsia="Times New Roman" w:hAnsi="Book Antiqua" w:cs="Arial"/>
          <w:sz w:val="24"/>
          <w:szCs w:val="24"/>
          <w:lang w:eastAsia="cs-CZ"/>
        </w:rPr>
        <w:footnoteReference w:id="8"/>
      </w:r>
    </w:p>
    <w:p w14:paraId="740FBD5F" w14:textId="77777777" w:rsidR="004B58BB" w:rsidRPr="004B58BB" w:rsidRDefault="004B58BB" w:rsidP="00AE1757">
      <w:pPr>
        <w:numPr>
          <w:ilvl w:val="1"/>
          <w:numId w:val="4"/>
        </w:numPr>
        <w:spacing w:before="100" w:beforeAutospacing="1" w:after="0" w:line="276" w:lineRule="auto"/>
        <w:ind w:left="992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není tato fyzická osoba přihlášena v obci,</w:t>
      </w:r>
    </w:p>
    <w:p w14:paraId="1AE0CCFE" w14:textId="77777777" w:rsidR="004B58BB" w:rsidRPr="004B58BB" w:rsidRDefault="004B58BB" w:rsidP="00AE1757">
      <w:pPr>
        <w:numPr>
          <w:ilvl w:val="1"/>
          <w:numId w:val="4"/>
        </w:numPr>
        <w:spacing w:before="100" w:beforeAutospacing="1" w:after="120" w:line="276" w:lineRule="auto"/>
        <w:ind w:left="992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nebo je tato fyzická osoba od poplatku osvobozena.</w:t>
      </w:r>
    </w:p>
    <w:p w14:paraId="3D24D9E8" w14:textId="77777777" w:rsidR="004B58BB" w:rsidRPr="004B58BB" w:rsidRDefault="004B58BB" w:rsidP="00D92653">
      <w:pPr>
        <w:numPr>
          <w:ilvl w:val="0"/>
          <w:numId w:val="4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proofErr w:type="gramStart"/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Poplatek</w:t>
      </w:r>
      <w:proofErr w:type="gramEnd"/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konci</w:t>
      </w:r>
      <w:proofErr w:type="gramEnd"/>
      <w:r w:rsidRPr="00E731DB">
        <w:rPr>
          <w:rStyle w:val="Znakapoznpodarou"/>
          <w:rFonts w:ascii="Book Antiqua" w:eastAsia="Times New Roman" w:hAnsi="Book Antiqua" w:cs="Arial"/>
          <w:sz w:val="24"/>
          <w:szCs w:val="24"/>
          <w:lang w:eastAsia="cs-CZ"/>
        </w:rPr>
        <w:footnoteReference w:id="9"/>
      </w:r>
    </w:p>
    <w:p w14:paraId="49C86482" w14:textId="77777777" w:rsidR="004B58BB" w:rsidRPr="004B58BB" w:rsidRDefault="004B58BB" w:rsidP="00AE1757">
      <w:pPr>
        <w:numPr>
          <w:ilvl w:val="1"/>
          <w:numId w:val="4"/>
        </w:numPr>
        <w:spacing w:before="100" w:beforeAutospacing="1" w:after="0" w:line="276" w:lineRule="auto"/>
        <w:ind w:left="992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je v této nemovité věci přihlášena alespoň 1 fyzická osoba,</w:t>
      </w:r>
    </w:p>
    <w:p w14:paraId="27C4B727" w14:textId="77777777" w:rsidR="004B58BB" w:rsidRPr="004B58BB" w:rsidRDefault="004B58BB" w:rsidP="00AE1757">
      <w:pPr>
        <w:numPr>
          <w:ilvl w:val="1"/>
          <w:numId w:val="4"/>
        </w:numPr>
        <w:spacing w:before="100" w:beforeAutospacing="1" w:after="0" w:line="276" w:lineRule="auto"/>
        <w:ind w:left="992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poplatník nevlastní tuto nemovitou věc,</w:t>
      </w:r>
    </w:p>
    <w:p w14:paraId="40B32A89" w14:textId="77777777" w:rsidR="004B58BB" w:rsidRPr="004B58BB" w:rsidRDefault="004B58BB" w:rsidP="00AE1757">
      <w:pPr>
        <w:numPr>
          <w:ilvl w:val="1"/>
          <w:numId w:val="4"/>
        </w:numPr>
        <w:spacing w:before="100" w:beforeAutospacing="1" w:after="120" w:line="276" w:lineRule="auto"/>
        <w:ind w:left="992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nebo je poplatník od poplatku osvobozen.</w:t>
      </w:r>
    </w:p>
    <w:p w14:paraId="34739BAB" w14:textId="77777777" w:rsidR="004B58BB" w:rsidRPr="004B58BB" w:rsidRDefault="004B58BB" w:rsidP="004B58BB">
      <w:pPr>
        <w:spacing w:before="363" w:after="100" w:afterAutospacing="1" w:line="276" w:lineRule="auto"/>
        <w:jc w:val="center"/>
        <w:outlineLvl w:val="1"/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lastRenderedPageBreak/>
        <w:t>Čl. 5</w:t>
      </w: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br/>
        <w:t>Splatnost poplatku</w:t>
      </w:r>
    </w:p>
    <w:p w14:paraId="5227B70D" w14:textId="77777777" w:rsidR="004B58BB" w:rsidRPr="004B58BB" w:rsidRDefault="004B58BB" w:rsidP="00D92653">
      <w:pPr>
        <w:numPr>
          <w:ilvl w:val="0"/>
          <w:numId w:val="5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Poplatek je splatný ve dvou stejných splátkách, nejpozději v termínech do 31. března a 30. června příslušného kalendářního roku.</w:t>
      </w:r>
    </w:p>
    <w:p w14:paraId="58A655F2" w14:textId="472D84D3" w:rsidR="004B58BB" w:rsidRPr="00883CE1" w:rsidRDefault="00883CE1" w:rsidP="00D92653">
      <w:pPr>
        <w:numPr>
          <w:ilvl w:val="0"/>
          <w:numId w:val="5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883CE1">
        <w:rPr>
          <w:rFonts w:ascii="Book Antiqua" w:hAnsi="Book Antiqua" w:cs="Arial"/>
          <w:sz w:val="24"/>
          <w:szCs w:val="24"/>
        </w:rPr>
        <w:t>Vznikne-li poplatková povinnost v období mezi daty uvedenými v odstavci 1, je</w:t>
      </w:r>
      <w:r w:rsidR="00535E4B">
        <w:rPr>
          <w:rFonts w:ascii="Book Antiqua" w:hAnsi="Book Antiqua" w:cs="Arial"/>
          <w:sz w:val="24"/>
          <w:szCs w:val="24"/>
        </w:rPr>
        <w:t> </w:t>
      </w:r>
      <w:r w:rsidRPr="00883CE1">
        <w:rPr>
          <w:rFonts w:ascii="Book Antiqua" w:hAnsi="Book Antiqua" w:cs="Arial"/>
          <w:sz w:val="24"/>
          <w:szCs w:val="24"/>
        </w:rPr>
        <w:t>poplatek splatný jednorázově ve lhůtě splatnosti druhé splátky podle odstavce 1. Vznikne-li poplatková povinnost po uplynutí lhůty splatnosti druhé splátky podle odstavce 1, je poplatek splatný jednorázově do patnáctého dne měsíce, který</w:t>
      </w:r>
      <w:r w:rsidR="00535E4B">
        <w:rPr>
          <w:rFonts w:ascii="Book Antiqua" w:hAnsi="Book Antiqua" w:cs="Arial"/>
          <w:sz w:val="24"/>
          <w:szCs w:val="24"/>
        </w:rPr>
        <w:t> </w:t>
      </w:r>
      <w:r w:rsidRPr="00883CE1">
        <w:rPr>
          <w:rFonts w:ascii="Book Antiqua" w:hAnsi="Book Antiqua" w:cs="Arial"/>
          <w:sz w:val="24"/>
          <w:szCs w:val="24"/>
        </w:rPr>
        <w:t>následuje po měsíci, ve kterém poplatková povinnost vznikla.</w:t>
      </w:r>
    </w:p>
    <w:p w14:paraId="003C1828" w14:textId="77777777" w:rsidR="004B58BB" w:rsidRPr="004B58BB" w:rsidRDefault="004B58BB" w:rsidP="00D92653">
      <w:pPr>
        <w:numPr>
          <w:ilvl w:val="0"/>
          <w:numId w:val="5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Lhůta splatnosti neskončí poplatníkovi dříve než lhůta pro podání ohlášení podle čl. 3 odst. 1 této vyhlášky.</w:t>
      </w:r>
    </w:p>
    <w:p w14:paraId="1C7777F2" w14:textId="77777777" w:rsidR="004B58BB" w:rsidRPr="004B58BB" w:rsidRDefault="004B58BB" w:rsidP="004B58BB">
      <w:pPr>
        <w:spacing w:before="363" w:after="100" w:afterAutospacing="1" w:line="276" w:lineRule="auto"/>
        <w:jc w:val="center"/>
        <w:outlineLvl w:val="1"/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Čl. 6</w:t>
      </w: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br/>
        <w:t xml:space="preserve">Osvobození a úlevy </w:t>
      </w:r>
    </w:p>
    <w:p w14:paraId="2E414859" w14:textId="77777777" w:rsidR="004B58BB" w:rsidRPr="004B58BB" w:rsidRDefault="004B58BB" w:rsidP="00D92653">
      <w:pPr>
        <w:numPr>
          <w:ilvl w:val="0"/>
          <w:numId w:val="6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Od poplatku je osvobozena osoba, které poplatková povinnost vznikla z důvodu přihlášení v obci a která je</w:t>
      </w:r>
      <w:r w:rsidR="00E731DB" w:rsidRPr="00E731DB">
        <w:rPr>
          <w:rStyle w:val="Znakapoznpodarou"/>
          <w:rFonts w:ascii="Book Antiqua" w:eastAsia="Times New Roman" w:hAnsi="Book Antiqua" w:cs="Arial"/>
          <w:sz w:val="24"/>
          <w:szCs w:val="24"/>
          <w:lang w:eastAsia="cs-CZ"/>
        </w:rPr>
        <w:footnoteReference w:id="10"/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:</w:t>
      </w:r>
    </w:p>
    <w:p w14:paraId="1981407F" w14:textId="77777777" w:rsidR="004B58BB" w:rsidRPr="004B58BB" w:rsidRDefault="004B58BB" w:rsidP="00AE1757">
      <w:pPr>
        <w:numPr>
          <w:ilvl w:val="1"/>
          <w:numId w:val="6"/>
        </w:numPr>
        <w:spacing w:before="100" w:beforeAutospacing="1" w:after="0" w:line="276" w:lineRule="auto"/>
        <w:ind w:left="992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poplatníkem poplatku za odkládání komunálního odpadu z nemovité věci v jiné obci a má v této jiné obci bydliště,</w:t>
      </w:r>
    </w:p>
    <w:p w14:paraId="0E940A87" w14:textId="77777777" w:rsidR="004B58BB" w:rsidRPr="004B58BB" w:rsidRDefault="004B58BB" w:rsidP="00AE1757">
      <w:pPr>
        <w:numPr>
          <w:ilvl w:val="1"/>
          <w:numId w:val="6"/>
        </w:numPr>
        <w:spacing w:before="100" w:beforeAutospacing="1" w:after="0" w:line="276" w:lineRule="auto"/>
        <w:ind w:left="992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umístěna do školského zařízení pro výkon ústavní nebo ochranné výchovy nebo školského zařízení pro preventivně výchovnou péči na základě rozhodnutí soudu nebo smlouvy,</w:t>
      </w:r>
    </w:p>
    <w:p w14:paraId="60648DF8" w14:textId="77777777" w:rsidR="004B58BB" w:rsidRPr="004B58BB" w:rsidRDefault="004B58BB" w:rsidP="00AE1757">
      <w:pPr>
        <w:numPr>
          <w:ilvl w:val="1"/>
          <w:numId w:val="6"/>
        </w:numPr>
        <w:spacing w:before="100" w:beforeAutospacing="1" w:after="0" w:line="276" w:lineRule="auto"/>
        <w:ind w:left="992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CA75464" w14:textId="77724A01" w:rsidR="004B58BB" w:rsidRPr="004B58BB" w:rsidRDefault="004B58BB" w:rsidP="00AE1757">
      <w:pPr>
        <w:numPr>
          <w:ilvl w:val="1"/>
          <w:numId w:val="6"/>
        </w:numPr>
        <w:spacing w:before="100" w:beforeAutospacing="1" w:after="0" w:line="276" w:lineRule="auto"/>
        <w:ind w:left="992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umístěna v domově pro osoby se zdravotním postižením, domově pro</w:t>
      </w:r>
      <w:r w:rsidR="00CD2333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seniory, domově se zvláštním režimem nebo v chráněném bydlení,</w:t>
      </w:r>
    </w:p>
    <w:p w14:paraId="0A5D2605" w14:textId="77777777" w:rsidR="004B58BB" w:rsidRPr="004B58BB" w:rsidRDefault="004B58BB" w:rsidP="00AE1757">
      <w:pPr>
        <w:numPr>
          <w:ilvl w:val="1"/>
          <w:numId w:val="6"/>
        </w:numPr>
        <w:spacing w:before="100" w:beforeAutospacing="1" w:after="120" w:line="276" w:lineRule="auto"/>
        <w:ind w:left="992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nebo na základě zákona omezena na osobní svobodě s výjimkou osoby vykonávající trest domácího vězení.</w:t>
      </w:r>
    </w:p>
    <w:p w14:paraId="32884F4E" w14:textId="1818CFB9" w:rsidR="007573FC" w:rsidRPr="007573FC" w:rsidRDefault="007573FC" w:rsidP="00D92653">
      <w:pPr>
        <w:numPr>
          <w:ilvl w:val="0"/>
          <w:numId w:val="6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7573FC">
        <w:rPr>
          <w:rFonts w:ascii="Book Antiqua" w:hAnsi="Book Antiqua" w:cs="Arial"/>
          <w:sz w:val="24"/>
          <w:szCs w:val="24"/>
        </w:rPr>
        <w:t xml:space="preserve">Od poplatku se osvobozují </w:t>
      </w:r>
      <w:r w:rsidR="0062367A">
        <w:rPr>
          <w:rFonts w:ascii="Book Antiqua" w:hAnsi="Book Antiqua" w:cs="Arial"/>
          <w:sz w:val="24"/>
          <w:szCs w:val="24"/>
        </w:rPr>
        <w:t>osoby, kterým poplatková povinnost vznikla z důvodu přihlášení v obci,</w:t>
      </w:r>
      <w:r w:rsidRPr="007573FC">
        <w:rPr>
          <w:rFonts w:ascii="Book Antiqua" w:hAnsi="Book Antiqua" w:cs="Arial"/>
          <w:sz w:val="24"/>
          <w:szCs w:val="24"/>
        </w:rPr>
        <w:t xml:space="preserve"> zdržující se dlouhodobě mimo území České republiky</w:t>
      </w:r>
      <w:r w:rsidR="0062367A">
        <w:rPr>
          <w:rFonts w:ascii="Book Antiqua" w:hAnsi="Book Antiqua" w:cs="Arial"/>
          <w:sz w:val="24"/>
          <w:szCs w:val="24"/>
        </w:rPr>
        <w:t>, a</w:t>
      </w:r>
      <w:r w:rsidR="00535E4B">
        <w:rPr>
          <w:rFonts w:ascii="Book Antiqua" w:hAnsi="Book Antiqua" w:cs="Arial"/>
          <w:sz w:val="24"/>
          <w:szCs w:val="24"/>
        </w:rPr>
        <w:t> </w:t>
      </w:r>
      <w:r w:rsidR="0062367A">
        <w:rPr>
          <w:rFonts w:ascii="Book Antiqua" w:hAnsi="Book Antiqua" w:cs="Arial"/>
          <w:sz w:val="24"/>
          <w:szCs w:val="24"/>
        </w:rPr>
        <w:t>to</w:t>
      </w:r>
      <w:r w:rsidR="00535E4B">
        <w:rPr>
          <w:rFonts w:ascii="Book Antiqua" w:hAnsi="Book Antiqua" w:cs="Arial"/>
          <w:sz w:val="24"/>
          <w:szCs w:val="24"/>
        </w:rPr>
        <w:t> </w:t>
      </w:r>
      <w:r w:rsidRPr="00D21D80">
        <w:rPr>
          <w:rFonts w:ascii="Book Antiqua" w:hAnsi="Book Antiqua" w:cs="Arial"/>
          <w:sz w:val="24"/>
          <w:szCs w:val="24"/>
        </w:rPr>
        <w:t>minimálně 6</w:t>
      </w:r>
      <w:r w:rsidRPr="007573FC">
        <w:rPr>
          <w:rFonts w:ascii="Book Antiqua" w:hAnsi="Book Antiqua" w:cs="Arial"/>
          <w:sz w:val="24"/>
          <w:szCs w:val="24"/>
        </w:rPr>
        <w:t> měsíců nepřetržitě v příslušném kalendářním roce.</w:t>
      </w:r>
    </w:p>
    <w:p w14:paraId="325733BC" w14:textId="77777777" w:rsidR="004B58BB" w:rsidRPr="004B58BB" w:rsidRDefault="004B58BB" w:rsidP="00D92653">
      <w:pPr>
        <w:numPr>
          <w:ilvl w:val="0"/>
          <w:numId w:val="6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Úleva se poskytuje osobě, které poplatková povinnost vznikla z důvodu přihlášení v obci a která:</w:t>
      </w:r>
    </w:p>
    <w:p w14:paraId="56688950" w14:textId="74876C62" w:rsidR="004B58BB" w:rsidRPr="00D21D80" w:rsidRDefault="0062367A" w:rsidP="00AE1757">
      <w:pPr>
        <w:numPr>
          <w:ilvl w:val="1"/>
          <w:numId w:val="6"/>
        </w:numPr>
        <w:spacing w:before="100" w:beforeAutospacing="1" w:after="0" w:line="276" w:lineRule="auto"/>
        <w:ind w:left="992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D21D80">
        <w:rPr>
          <w:rFonts w:ascii="Book Antiqua" w:eastAsia="Times New Roman" w:hAnsi="Book Antiqua" w:cs="Arial"/>
          <w:sz w:val="24"/>
          <w:szCs w:val="24"/>
          <w:lang w:eastAsia="cs-CZ"/>
        </w:rPr>
        <w:t>je</w:t>
      </w:r>
      <w:r w:rsidR="004B58BB" w:rsidRPr="00D21D80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starší 65 let (v příslušném roce dovrší 65 let), ve výši </w:t>
      </w:r>
      <w:r w:rsidR="00FC778A" w:rsidRPr="00D21D80">
        <w:rPr>
          <w:rFonts w:ascii="Book Antiqua" w:eastAsia="Times New Roman" w:hAnsi="Book Antiqua" w:cs="Arial"/>
          <w:sz w:val="24"/>
          <w:szCs w:val="24"/>
          <w:lang w:eastAsia="cs-CZ"/>
        </w:rPr>
        <w:t>5</w:t>
      </w:r>
      <w:r w:rsidR="004B58BB" w:rsidRPr="00D21D80">
        <w:rPr>
          <w:rFonts w:ascii="Book Antiqua" w:eastAsia="Times New Roman" w:hAnsi="Book Antiqua" w:cs="Arial"/>
          <w:sz w:val="24"/>
          <w:szCs w:val="24"/>
          <w:lang w:eastAsia="cs-CZ"/>
        </w:rPr>
        <w:t>00 Kč,</w:t>
      </w:r>
    </w:p>
    <w:p w14:paraId="0368AFFC" w14:textId="428C6D2E" w:rsidR="004B58BB" w:rsidRPr="00D21D80" w:rsidRDefault="0062367A" w:rsidP="00AE1757">
      <w:pPr>
        <w:numPr>
          <w:ilvl w:val="1"/>
          <w:numId w:val="6"/>
        </w:numPr>
        <w:spacing w:before="100" w:beforeAutospacing="1" w:after="120" w:line="276" w:lineRule="auto"/>
        <w:ind w:left="992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D21D80">
        <w:rPr>
          <w:rFonts w:ascii="Book Antiqua" w:eastAsia="Times New Roman" w:hAnsi="Book Antiqua" w:cs="Arial"/>
          <w:sz w:val="24"/>
          <w:szCs w:val="24"/>
          <w:lang w:eastAsia="cs-CZ"/>
        </w:rPr>
        <w:t xml:space="preserve">je </w:t>
      </w:r>
      <w:r w:rsidR="004B58BB" w:rsidRPr="00D21D80">
        <w:rPr>
          <w:rFonts w:ascii="Book Antiqua" w:eastAsia="Times New Roman" w:hAnsi="Book Antiqua" w:cs="Arial"/>
          <w:sz w:val="24"/>
          <w:szCs w:val="24"/>
          <w:lang w:eastAsia="cs-CZ"/>
        </w:rPr>
        <w:t>dítět</w:t>
      </w:r>
      <w:r w:rsidRPr="00D21D80">
        <w:rPr>
          <w:rFonts w:ascii="Book Antiqua" w:eastAsia="Times New Roman" w:hAnsi="Book Antiqua" w:cs="Arial"/>
          <w:sz w:val="24"/>
          <w:szCs w:val="24"/>
          <w:lang w:eastAsia="cs-CZ"/>
        </w:rPr>
        <w:t>em</w:t>
      </w:r>
      <w:r w:rsidR="004B58BB" w:rsidRPr="00D21D80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mladším 15 let (v příslušném roce dovrší 15 let), ve výši </w:t>
      </w:r>
      <w:r w:rsidR="00FC778A" w:rsidRPr="00D21D80">
        <w:rPr>
          <w:rFonts w:ascii="Book Antiqua" w:eastAsia="Times New Roman" w:hAnsi="Book Antiqua" w:cs="Arial"/>
          <w:sz w:val="24"/>
          <w:szCs w:val="24"/>
          <w:lang w:eastAsia="cs-CZ"/>
        </w:rPr>
        <w:t>5</w:t>
      </w:r>
      <w:r w:rsidR="004B58BB" w:rsidRPr="00D21D80">
        <w:rPr>
          <w:rFonts w:ascii="Book Antiqua" w:eastAsia="Times New Roman" w:hAnsi="Book Antiqua" w:cs="Arial"/>
          <w:sz w:val="24"/>
          <w:szCs w:val="24"/>
          <w:lang w:eastAsia="cs-CZ"/>
        </w:rPr>
        <w:t>00</w:t>
      </w:r>
      <w:r w:rsidR="00CD2333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  <w:r w:rsidR="004B58BB" w:rsidRPr="00D21D80">
        <w:rPr>
          <w:rFonts w:ascii="Book Antiqua" w:eastAsia="Times New Roman" w:hAnsi="Book Antiqua" w:cs="Arial"/>
          <w:sz w:val="24"/>
          <w:szCs w:val="24"/>
          <w:lang w:eastAsia="cs-CZ"/>
        </w:rPr>
        <w:t>Kč.</w:t>
      </w:r>
    </w:p>
    <w:p w14:paraId="62341BEE" w14:textId="27FA996D" w:rsidR="004B58BB" w:rsidRPr="004B58BB" w:rsidRDefault="004B58BB" w:rsidP="00D92653">
      <w:pPr>
        <w:numPr>
          <w:ilvl w:val="0"/>
          <w:numId w:val="6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lastRenderedPageBreak/>
        <w:t>V případě, že poplatník nesplní povinnost ohlásit údaj rozhodný pro</w:t>
      </w:r>
      <w:r w:rsidR="00CD2333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osvobození nebo úlevu ve lhůtách stanovených touto vyhláškou nebo</w:t>
      </w:r>
      <w:r w:rsidR="00CD2333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zákonem, nárok</w:t>
      </w:r>
      <w:r w:rsidR="00535E4B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  <w:bookmarkStart w:id="1" w:name="_GoBack"/>
      <w:bookmarkEnd w:id="1"/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na osvobození nebo úlevu zaniká</w:t>
      </w:r>
      <w:r w:rsidR="00E731DB" w:rsidRPr="00E731DB">
        <w:rPr>
          <w:rStyle w:val="Znakapoznpodarou"/>
          <w:rFonts w:ascii="Book Antiqua" w:eastAsia="Times New Roman" w:hAnsi="Book Antiqua" w:cs="Arial"/>
          <w:sz w:val="24"/>
          <w:szCs w:val="24"/>
          <w:lang w:eastAsia="cs-CZ"/>
        </w:rPr>
        <w:footnoteReference w:id="11"/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.</w:t>
      </w:r>
    </w:p>
    <w:p w14:paraId="04205AF2" w14:textId="77777777" w:rsidR="004B58BB" w:rsidRPr="004B58BB" w:rsidRDefault="004B58BB" w:rsidP="004B58BB">
      <w:pPr>
        <w:spacing w:before="363" w:after="100" w:afterAutospacing="1" w:line="276" w:lineRule="auto"/>
        <w:jc w:val="center"/>
        <w:outlineLvl w:val="1"/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Čl. 7</w:t>
      </w: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br/>
        <w:t>Přechodné a zrušovací ustanovení</w:t>
      </w:r>
    </w:p>
    <w:p w14:paraId="684DB573" w14:textId="2A5A8A6F" w:rsidR="004B58BB" w:rsidRPr="004B58BB" w:rsidRDefault="004B58BB" w:rsidP="00D92653">
      <w:pPr>
        <w:numPr>
          <w:ilvl w:val="0"/>
          <w:numId w:val="7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Poplatkové povinnosti vzniklé před nabytím účinnosti této vyhlášky se</w:t>
      </w:r>
      <w:r w:rsidR="00CD2333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posuzují podle dosavadních právních předpisů.</w:t>
      </w:r>
    </w:p>
    <w:p w14:paraId="0836FE2F" w14:textId="77777777" w:rsidR="004B58BB" w:rsidRPr="004B58BB" w:rsidRDefault="004B58BB" w:rsidP="00D92653">
      <w:pPr>
        <w:numPr>
          <w:ilvl w:val="0"/>
          <w:numId w:val="7"/>
        </w:numPr>
        <w:spacing w:before="100" w:beforeAutospacing="1" w:after="120" w:line="276" w:lineRule="auto"/>
        <w:ind w:left="425" w:hanging="357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Zrušuje se obecně závazná vyhláška č. 2/2023, o místním poplatku za obecní systém odpadového hospodářství, ze dne 19. prosince 2023.</w:t>
      </w:r>
    </w:p>
    <w:p w14:paraId="40C1F8C9" w14:textId="77777777" w:rsidR="004B58BB" w:rsidRPr="004B58BB" w:rsidRDefault="004B58BB" w:rsidP="004B58BB">
      <w:pPr>
        <w:spacing w:before="363" w:after="100" w:afterAutospacing="1" w:line="276" w:lineRule="auto"/>
        <w:jc w:val="center"/>
        <w:outlineLvl w:val="1"/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Čl. 8</w:t>
      </w:r>
      <w:r w:rsidRPr="004B58BB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br/>
        <w:t>Účinnost</w:t>
      </w:r>
    </w:p>
    <w:p w14:paraId="6C721B32" w14:textId="77777777" w:rsidR="004B58BB" w:rsidRDefault="004B58BB" w:rsidP="00D92653">
      <w:pPr>
        <w:spacing w:before="100" w:beforeAutospacing="1" w:after="119" w:line="276" w:lineRule="auto"/>
        <w:ind w:left="68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4B58BB">
        <w:rPr>
          <w:rFonts w:ascii="Book Antiqua" w:eastAsia="Times New Roman" w:hAnsi="Book Antiqua" w:cs="Arial"/>
          <w:sz w:val="24"/>
          <w:szCs w:val="24"/>
          <w:lang w:eastAsia="cs-CZ"/>
        </w:rPr>
        <w:t>Tato vyhláška nabývá účinnosti dnem 1. ledna 2025.</w:t>
      </w:r>
    </w:p>
    <w:p w14:paraId="3B765AFE" w14:textId="77777777" w:rsidR="00BE2118" w:rsidRDefault="00BE2118" w:rsidP="004B58BB">
      <w:pPr>
        <w:spacing w:before="100" w:beforeAutospacing="1" w:after="119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</w:p>
    <w:p w14:paraId="3F607097" w14:textId="77777777" w:rsidR="00BE2118" w:rsidRDefault="00BE2118" w:rsidP="004B58BB">
      <w:pPr>
        <w:spacing w:before="100" w:beforeAutospacing="1" w:after="119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</w:p>
    <w:p w14:paraId="71CC26F2" w14:textId="77777777" w:rsidR="00BE2118" w:rsidRPr="004B58BB" w:rsidRDefault="00BE2118" w:rsidP="004B58BB">
      <w:pPr>
        <w:spacing w:before="100" w:beforeAutospacing="1" w:after="119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B58BB" w:rsidRPr="004B58BB" w14:paraId="0E0AABF5" w14:textId="77777777" w:rsidTr="004B58BB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08A47BE" w14:textId="77777777" w:rsidR="004B58BB" w:rsidRPr="004B58BB" w:rsidRDefault="004B58BB" w:rsidP="004B58BB">
            <w:pPr>
              <w:spacing w:before="100" w:beforeAutospacing="1" w:after="0" w:line="276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cs-CZ"/>
              </w:rPr>
            </w:pPr>
            <w:r w:rsidRPr="004B58BB">
              <w:rPr>
                <w:rFonts w:ascii="Book Antiqua" w:eastAsia="Times New Roman" w:hAnsi="Book Antiqua" w:cs="Arial"/>
                <w:sz w:val="24"/>
                <w:szCs w:val="24"/>
                <w:lang w:eastAsia="cs-CZ"/>
              </w:rPr>
              <w:t xml:space="preserve">Ing. Radka </w:t>
            </w:r>
            <w:proofErr w:type="spellStart"/>
            <w:r w:rsidRPr="004B58BB">
              <w:rPr>
                <w:rFonts w:ascii="Book Antiqua" w:eastAsia="Times New Roman" w:hAnsi="Book Antiqua" w:cs="Arial"/>
                <w:sz w:val="24"/>
                <w:szCs w:val="24"/>
                <w:lang w:eastAsia="cs-CZ"/>
              </w:rPr>
              <w:t>Chudová</w:t>
            </w:r>
            <w:proofErr w:type="spellEnd"/>
            <w:r w:rsidRPr="004B58BB">
              <w:rPr>
                <w:rFonts w:ascii="Book Antiqua" w:eastAsia="Times New Roman" w:hAnsi="Book Antiqua" w:cs="Arial"/>
                <w:sz w:val="24"/>
                <w:szCs w:val="24"/>
                <w:lang w:eastAsia="cs-CZ"/>
              </w:rPr>
              <w:t>, MBA v. r.</w:t>
            </w:r>
            <w:r w:rsidRPr="004B58BB">
              <w:rPr>
                <w:rFonts w:ascii="Book Antiqua" w:eastAsia="Times New Roman" w:hAnsi="Book Antiqua" w:cs="Arial"/>
                <w:sz w:val="24"/>
                <w:szCs w:val="24"/>
                <w:lang w:eastAsia="cs-CZ"/>
              </w:rPr>
              <w:br/>
              <w:t xml:space="preserve">starostka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3EF4A86" w14:textId="77777777" w:rsidR="004B58BB" w:rsidRPr="004B58BB" w:rsidRDefault="004B58BB" w:rsidP="004B58BB">
            <w:pPr>
              <w:spacing w:before="100" w:beforeAutospacing="1" w:after="0" w:line="276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cs-CZ"/>
              </w:rPr>
            </w:pPr>
            <w:r w:rsidRPr="004B58BB">
              <w:rPr>
                <w:rFonts w:ascii="Book Antiqua" w:eastAsia="Times New Roman" w:hAnsi="Book Antiqua" w:cs="Arial"/>
                <w:sz w:val="24"/>
                <w:szCs w:val="24"/>
                <w:lang w:eastAsia="cs-CZ"/>
              </w:rPr>
              <w:t>Ing. Hana Peňázová v. r.</w:t>
            </w:r>
            <w:r w:rsidRPr="004B58BB">
              <w:rPr>
                <w:rFonts w:ascii="Book Antiqua" w:eastAsia="Times New Roman" w:hAnsi="Book Antiqua" w:cs="Arial"/>
                <w:sz w:val="24"/>
                <w:szCs w:val="24"/>
                <w:lang w:eastAsia="cs-CZ"/>
              </w:rPr>
              <w:br/>
              <w:t xml:space="preserve">místostarostka </w:t>
            </w:r>
          </w:p>
        </w:tc>
      </w:tr>
      <w:tr w:rsidR="004B58BB" w:rsidRPr="004B58BB" w14:paraId="5F71533F" w14:textId="77777777" w:rsidTr="004B58BB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A738F19" w14:textId="77777777" w:rsidR="004B58BB" w:rsidRPr="004B58BB" w:rsidRDefault="004B58BB" w:rsidP="004B58BB">
            <w:pPr>
              <w:spacing w:before="100" w:beforeAutospacing="1"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E459BA8" w14:textId="77777777" w:rsidR="004B58BB" w:rsidRPr="004B58BB" w:rsidRDefault="004B58BB" w:rsidP="004B58BB">
            <w:pPr>
              <w:spacing w:before="100" w:beforeAutospacing="1"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9938236" w14:textId="77777777" w:rsidR="007C4282" w:rsidRPr="004B58BB" w:rsidRDefault="007C4282" w:rsidP="004B58BB"/>
    <w:sectPr w:rsidR="007C4282" w:rsidRPr="004B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E568C" w14:textId="77777777" w:rsidR="00F52E68" w:rsidRDefault="00F52E68" w:rsidP="004B58BB">
      <w:pPr>
        <w:spacing w:after="0" w:line="240" w:lineRule="auto"/>
      </w:pPr>
      <w:r>
        <w:separator/>
      </w:r>
    </w:p>
  </w:endnote>
  <w:endnote w:type="continuationSeparator" w:id="0">
    <w:p w14:paraId="2292E65B" w14:textId="77777777" w:rsidR="00F52E68" w:rsidRDefault="00F52E68" w:rsidP="004B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35EF0" w14:textId="77777777" w:rsidR="00F52E68" w:rsidRDefault="00F52E68" w:rsidP="004B58BB">
      <w:pPr>
        <w:spacing w:after="0" w:line="240" w:lineRule="auto"/>
      </w:pPr>
      <w:r>
        <w:separator/>
      </w:r>
    </w:p>
  </w:footnote>
  <w:footnote w:type="continuationSeparator" w:id="0">
    <w:p w14:paraId="5B97E09A" w14:textId="77777777" w:rsidR="00F52E68" w:rsidRDefault="00F52E68" w:rsidP="004B58BB">
      <w:pPr>
        <w:spacing w:after="0" w:line="240" w:lineRule="auto"/>
      </w:pPr>
      <w:r>
        <w:continuationSeparator/>
      </w:r>
    </w:p>
  </w:footnote>
  <w:footnote w:id="1">
    <w:p w14:paraId="41D1427B" w14:textId="77777777" w:rsidR="004B58BB" w:rsidRPr="00E731DB" w:rsidRDefault="004B58BB" w:rsidP="00CD2333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E731DB">
        <w:rPr>
          <w:rStyle w:val="Znakapoznpodarou"/>
          <w:rFonts w:ascii="Book Antiqua" w:hAnsi="Book Antiqua"/>
          <w:sz w:val="18"/>
          <w:szCs w:val="18"/>
        </w:rPr>
        <w:footnoteRef/>
      </w:r>
      <w:r w:rsidRPr="00E731DB">
        <w:rPr>
          <w:rFonts w:ascii="Book Antiqua" w:hAnsi="Book Antiqua"/>
          <w:sz w:val="18"/>
          <w:szCs w:val="18"/>
        </w:rPr>
        <w:t xml:space="preserve"> </w:t>
      </w:r>
      <w:r w:rsidRPr="004B58BB">
        <w:rPr>
          <w:rFonts w:ascii="Book Antiqua" w:eastAsia="Times New Roman" w:hAnsi="Book Antiqua" w:cs="Arial"/>
          <w:sz w:val="18"/>
          <w:szCs w:val="18"/>
          <w:lang w:eastAsia="cs-CZ"/>
        </w:rPr>
        <w:t>§ 10o odst. 1 zákona o místních poplatcích</w:t>
      </w:r>
    </w:p>
  </w:footnote>
  <w:footnote w:id="2">
    <w:p w14:paraId="13F030FE" w14:textId="77777777" w:rsidR="004B58BB" w:rsidRPr="00E731DB" w:rsidRDefault="004B58BB" w:rsidP="00CD2333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E731DB">
        <w:rPr>
          <w:rStyle w:val="Znakapoznpodarou"/>
          <w:rFonts w:ascii="Book Antiqua" w:hAnsi="Book Antiqua"/>
          <w:sz w:val="18"/>
          <w:szCs w:val="18"/>
        </w:rPr>
        <w:footnoteRef/>
      </w:r>
      <w:r w:rsidRPr="00E731DB">
        <w:rPr>
          <w:rFonts w:ascii="Book Antiqua" w:hAnsi="Book Antiqua"/>
          <w:sz w:val="18"/>
          <w:szCs w:val="18"/>
        </w:rPr>
        <w:t xml:space="preserve"> </w:t>
      </w:r>
      <w:r w:rsidRPr="004B58BB">
        <w:rPr>
          <w:rFonts w:ascii="Book Antiqua" w:eastAsia="Times New Roman" w:hAnsi="Book Antiqua" w:cs="Arial"/>
          <w:sz w:val="18"/>
          <w:szCs w:val="18"/>
          <w:lang w:eastAsia="cs-CZ"/>
        </w:rPr>
        <w:t>§ 15 odst. 1 zákona o místních poplatcích</w:t>
      </w:r>
    </w:p>
  </w:footnote>
  <w:footnote w:id="3">
    <w:p w14:paraId="00943E9E" w14:textId="77777777" w:rsidR="004B58BB" w:rsidRPr="00E731DB" w:rsidRDefault="004B58BB" w:rsidP="00CD2333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E731DB">
        <w:rPr>
          <w:rStyle w:val="Znakapoznpodarou"/>
          <w:rFonts w:ascii="Book Antiqua" w:hAnsi="Book Antiqua"/>
          <w:sz w:val="18"/>
          <w:szCs w:val="18"/>
        </w:rPr>
        <w:footnoteRef/>
      </w:r>
      <w:r w:rsidRPr="00E731DB">
        <w:rPr>
          <w:rFonts w:ascii="Book Antiqua" w:hAnsi="Book Antiqua"/>
          <w:sz w:val="18"/>
          <w:szCs w:val="18"/>
        </w:rPr>
        <w:t xml:space="preserve"> </w:t>
      </w:r>
      <w:r w:rsidRPr="004B58BB">
        <w:rPr>
          <w:rFonts w:ascii="Book Antiqua" w:eastAsia="Times New Roman" w:hAnsi="Book Antiqua" w:cs="Arial"/>
          <w:sz w:val="18"/>
          <w:szCs w:val="18"/>
          <w:lang w:eastAsia="cs-CZ"/>
        </w:rPr>
        <w:t>§ 10e zákona o místních poplatcích</w:t>
      </w:r>
    </w:p>
  </w:footnote>
  <w:footnote w:id="4">
    <w:p w14:paraId="5232EBAB" w14:textId="77777777" w:rsidR="004B58BB" w:rsidRPr="00E731DB" w:rsidRDefault="004B58BB" w:rsidP="00CD2333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E731DB">
        <w:rPr>
          <w:rStyle w:val="Znakapoznpodarou"/>
          <w:rFonts w:ascii="Book Antiqua" w:hAnsi="Book Antiqua"/>
          <w:sz w:val="18"/>
          <w:szCs w:val="18"/>
        </w:rPr>
        <w:footnoteRef/>
      </w:r>
      <w:r w:rsidRPr="00E731DB">
        <w:rPr>
          <w:rFonts w:ascii="Book Antiqua" w:hAnsi="Book Antiqua"/>
          <w:sz w:val="18"/>
          <w:szCs w:val="18"/>
        </w:rPr>
        <w:t xml:space="preserve"> </w:t>
      </w:r>
      <w:r w:rsidRPr="00E731DB">
        <w:rPr>
          <w:rFonts w:ascii="Book Antiqua" w:hAnsi="Book Antiqua" w:cs="Arial"/>
          <w:sz w:val="18"/>
          <w:szCs w:val="18"/>
        </w:rPr>
        <w:t>Za</w:t>
      </w:r>
      <w:r w:rsidRPr="00E731DB">
        <w:rPr>
          <w:rFonts w:ascii="Book Antiqua" w:hAnsi="Book Antiqua"/>
          <w:sz w:val="18"/>
          <w:szCs w:val="18"/>
        </w:rPr>
        <w:t xml:space="preserve"> </w:t>
      </w:r>
      <w:r w:rsidRPr="004B58BB">
        <w:rPr>
          <w:rFonts w:ascii="Book Antiqua" w:eastAsia="Times New Roman" w:hAnsi="Book Antiqua" w:cs="Arial"/>
          <w:sz w:val="18"/>
          <w:szCs w:val="18"/>
          <w:lang w:eastAsia="cs-CZ"/>
        </w:rP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687E8C6" w14:textId="77777777" w:rsidR="004B58BB" w:rsidRPr="00E731DB" w:rsidRDefault="004B58BB" w:rsidP="00CD2333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E731DB">
        <w:rPr>
          <w:rStyle w:val="Znakapoznpodarou"/>
          <w:rFonts w:ascii="Book Antiqua" w:hAnsi="Book Antiqua"/>
          <w:sz w:val="18"/>
          <w:szCs w:val="18"/>
        </w:rPr>
        <w:footnoteRef/>
      </w:r>
      <w:r w:rsidRPr="00E731DB">
        <w:rPr>
          <w:rFonts w:ascii="Book Antiqua" w:hAnsi="Book Antiqua"/>
          <w:sz w:val="18"/>
          <w:szCs w:val="18"/>
        </w:rPr>
        <w:t xml:space="preserve"> </w:t>
      </w:r>
      <w:r w:rsidRPr="004B58BB">
        <w:rPr>
          <w:rFonts w:ascii="Book Antiqua" w:eastAsia="Times New Roman" w:hAnsi="Book Antiqua" w:cs="Arial"/>
          <w:sz w:val="18"/>
          <w:szCs w:val="18"/>
          <w:lang w:eastAsia="cs-CZ"/>
        </w:rPr>
        <w:t>§ 10p zákona o místních poplatcích</w:t>
      </w:r>
    </w:p>
  </w:footnote>
  <w:footnote w:id="6">
    <w:p w14:paraId="26F9B738" w14:textId="77777777" w:rsidR="004B58BB" w:rsidRPr="00E731DB" w:rsidRDefault="004B58BB" w:rsidP="00CD2333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E731DB">
        <w:rPr>
          <w:rStyle w:val="Znakapoznpodarou"/>
          <w:rFonts w:ascii="Book Antiqua" w:hAnsi="Book Antiqua"/>
          <w:sz w:val="18"/>
          <w:szCs w:val="18"/>
        </w:rPr>
        <w:footnoteRef/>
      </w:r>
      <w:r w:rsidRPr="00E731DB">
        <w:rPr>
          <w:rFonts w:ascii="Book Antiqua" w:hAnsi="Book Antiqua"/>
          <w:sz w:val="18"/>
          <w:szCs w:val="18"/>
        </w:rPr>
        <w:t xml:space="preserve"> </w:t>
      </w:r>
      <w:r w:rsidRPr="004B58BB">
        <w:rPr>
          <w:rFonts w:ascii="Book Antiqua" w:eastAsia="Times New Roman" w:hAnsi="Book Antiqua" w:cs="Arial"/>
          <w:sz w:val="18"/>
          <w:szCs w:val="18"/>
          <w:lang w:eastAsia="cs-CZ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4F6972A" w14:textId="77777777" w:rsidR="004B58BB" w:rsidRPr="00E731DB" w:rsidRDefault="004B58BB" w:rsidP="00CD2333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E731DB">
        <w:rPr>
          <w:rStyle w:val="Znakapoznpodarou"/>
          <w:rFonts w:ascii="Book Antiqua" w:hAnsi="Book Antiqua"/>
          <w:sz w:val="18"/>
          <w:szCs w:val="18"/>
        </w:rPr>
        <w:footnoteRef/>
      </w:r>
      <w:r w:rsidRPr="00E731DB">
        <w:rPr>
          <w:rFonts w:ascii="Book Antiqua" w:hAnsi="Book Antiqua"/>
          <w:sz w:val="18"/>
          <w:szCs w:val="18"/>
        </w:rPr>
        <w:t xml:space="preserve"> </w:t>
      </w:r>
      <w:r w:rsidRPr="004B58BB">
        <w:rPr>
          <w:rFonts w:ascii="Book Antiqua" w:eastAsia="Times New Roman" w:hAnsi="Book Antiqua" w:cs="Arial"/>
          <w:sz w:val="18"/>
          <w:szCs w:val="18"/>
          <w:lang w:eastAsia="cs-CZ"/>
        </w:rPr>
        <w:t>§ 14a odst. 4 zákona o místních poplatcích</w:t>
      </w:r>
    </w:p>
  </w:footnote>
  <w:footnote w:id="8">
    <w:p w14:paraId="13120C77" w14:textId="77777777" w:rsidR="004B58BB" w:rsidRPr="00E731DB" w:rsidRDefault="004B58BB" w:rsidP="00CD2333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E731DB">
        <w:rPr>
          <w:rStyle w:val="Znakapoznpodarou"/>
          <w:rFonts w:ascii="Book Antiqua" w:hAnsi="Book Antiqua"/>
          <w:sz w:val="18"/>
          <w:szCs w:val="18"/>
        </w:rPr>
        <w:footnoteRef/>
      </w:r>
      <w:r w:rsidRPr="00E731DB">
        <w:rPr>
          <w:rFonts w:ascii="Book Antiqua" w:hAnsi="Book Antiqua"/>
          <w:sz w:val="18"/>
          <w:szCs w:val="18"/>
        </w:rPr>
        <w:t xml:space="preserve"> </w:t>
      </w:r>
      <w:r w:rsidRPr="004B58BB">
        <w:rPr>
          <w:rFonts w:ascii="Book Antiqua" w:eastAsia="Times New Roman" w:hAnsi="Book Antiqua" w:cs="Arial"/>
          <w:sz w:val="18"/>
          <w:szCs w:val="18"/>
          <w:lang w:eastAsia="cs-CZ"/>
        </w:rPr>
        <w:t>§ 10h odst. 2 ve spojení s § 10o odst. 2 zákona o místních poplatcích</w:t>
      </w:r>
    </w:p>
  </w:footnote>
  <w:footnote w:id="9">
    <w:p w14:paraId="3674DB6A" w14:textId="77777777" w:rsidR="004B58BB" w:rsidRPr="00E731DB" w:rsidRDefault="004B58BB" w:rsidP="00CD2333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E731DB">
        <w:rPr>
          <w:rStyle w:val="Znakapoznpodarou"/>
          <w:rFonts w:ascii="Book Antiqua" w:hAnsi="Book Antiqua"/>
          <w:sz w:val="18"/>
          <w:szCs w:val="18"/>
        </w:rPr>
        <w:footnoteRef/>
      </w:r>
      <w:r w:rsidRPr="00E731DB">
        <w:rPr>
          <w:rFonts w:ascii="Book Antiqua" w:hAnsi="Book Antiqua"/>
          <w:sz w:val="18"/>
          <w:szCs w:val="18"/>
        </w:rPr>
        <w:t xml:space="preserve"> </w:t>
      </w:r>
      <w:r w:rsidRPr="004B58BB">
        <w:rPr>
          <w:rFonts w:ascii="Book Antiqua" w:eastAsia="Times New Roman" w:hAnsi="Book Antiqua" w:cs="Arial"/>
          <w:sz w:val="18"/>
          <w:szCs w:val="18"/>
          <w:lang w:eastAsia="cs-CZ"/>
        </w:rPr>
        <w:t>§ 10h odst. 3 ve spojení s § 10o odst. 2 zákona o místních poplatcích</w:t>
      </w:r>
    </w:p>
  </w:footnote>
  <w:footnote w:id="10">
    <w:p w14:paraId="3C125576" w14:textId="77777777" w:rsidR="00E731DB" w:rsidRPr="00E731DB" w:rsidRDefault="00E731DB" w:rsidP="00CD2333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E731DB">
        <w:rPr>
          <w:rStyle w:val="Znakapoznpodarou"/>
          <w:rFonts w:ascii="Book Antiqua" w:hAnsi="Book Antiqua"/>
          <w:sz w:val="18"/>
          <w:szCs w:val="18"/>
        </w:rPr>
        <w:footnoteRef/>
      </w:r>
      <w:r w:rsidRPr="00E731DB">
        <w:rPr>
          <w:rFonts w:ascii="Book Antiqua" w:hAnsi="Book Antiqua"/>
          <w:sz w:val="18"/>
          <w:szCs w:val="18"/>
        </w:rPr>
        <w:t xml:space="preserve"> </w:t>
      </w:r>
      <w:r w:rsidRPr="004B58BB">
        <w:rPr>
          <w:rFonts w:ascii="Book Antiqua" w:eastAsia="Times New Roman" w:hAnsi="Book Antiqua" w:cs="Arial"/>
          <w:sz w:val="18"/>
          <w:szCs w:val="18"/>
          <w:lang w:eastAsia="cs-CZ"/>
        </w:rPr>
        <w:t>§ 10g zákona o místních poplatcích</w:t>
      </w:r>
    </w:p>
  </w:footnote>
  <w:footnote w:id="11">
    <w:p w14:paraId="2665758C" w14:textId="77777777" w:rsidR="00E731DB" w:rsidRPr="00E731DB" w:rsidRDefault="00E731DB" w:rsidP="00CD2333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E731DB">
        <w:rPr>
          <w:rStyle w:val="Znakapoznpodarou"/>
          <w:rFonts w:ascii="Book Antiqua" w:hAnsi="Book Antiqua"/>
          <w:sz w:val="18"/>
          <w:szCs w:val="18"/>
        </w:rPr>
        <w:footnoteRef/>
      </w:r>
      <w:r w:rsidRPr="00E731DB">
        <w:rPr>
          <w:rFonts w:ascii="Book Antiqua" w:hAnsi="Book Antiqua"/>
          <w:sz w:val="18"/>
          <w:szCs w:val="18"/>
        </w:rPr>
        <w:t xml:space="preserve"> </w:t>
      </w:r>
      <w:r w:rsidRPr="004B58BB">
        <w:rPr>
          <w:rFonts w:ascii="Book Antiqua" w:eastAsia="Times New Roman" w:hAnsi="Book Antiqua" w:cs="Arial"/>
          <w:sz w:val="18"/>
          <w:szCs w:val="18"/>
          <w:lang w:eastAsia="cs-CZ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5073"/>
    <w:multiLevelType w:val="multilevel"/>
    <w:tmpl w:val="302A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42F8C"/>
    <w:multiLevelType w:val="multilevel"/>
    <w:tmpl w:val="A7AE6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C50EF"/>
    <w:multiLevelType w:val="multilevel"/>
    <w:tmpl w:val="6606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D6B9D"/>
    <w:multiLevelType w:val="multilevel"/>
    <w:tmpl w:val="654E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517723"/>
    <w:multiLevelType w:val="multilevel"/>
    <w:tmpl w:val="87D2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E06D6"/>
    <w:multiLevelType w:val="multilevel"/>
    <w:tmpl w:val="EBD0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FA69E5"/>
    <w:multiLevelType w:val="multilevel"/>
    <w:tmpl w:val="7458E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BB"/>
    <w:rsid w:val="00335B05"/>
    <w:rsid w:val="003957C8"/>
    <w:rsid w:val="004B58BB"/>
    <w:rsid w:val="004E2DBF"/>
    <w:rsid w:val="00535E4B"/>
    <w:rsid w:val="005B67A7"/>
    <w:rsid w:val="0062367A"/>
    <w:rsid w:val="007573FC"/>
    <w:rsid w:val="007C4282"/>
    <w:rsid w:val="007D4212"/>
    <w:rsid w:val="0085065B"/>
    <w:rsid w:val="00883CE1"/>
    <w:rsid w:val="00A31020"/>
    <w:rsid w:val="00AE1757"/>
    <w:rsid w:val="00BE2118"/>
    <w:rsid w:val="00BF4D88"/>
    <w:rsid w:val="00CD2333"/>
    <w:rsid w:val="00CF1CE9"/>
    <w:rsid w:val="00D21D80"/>
    <w:rsid w:val="00D92653"/>
    <w:rsid w:val="00E731DB"/>
    <w:rsid w:val="00F52E68"/>
    <w:rsid w:val="00FC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342B"/>
  <w15:chartTrackingRefBased/>
  <w15:docId w15:val="{201EDD75-5A88-4A31-8C31-87746316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B58BB"/>
    <w:pPr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B58BB"/>
    <w:pPr>
      <w:spacing w:before="363" w:after="100" w:afterAutospacing="1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8B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B58B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B58B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B58BB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4B58BB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-western">
    <w:name w:val="odstavec-western"/>
    <w:basedOn w:val="Normln"/>
    <w:rsid w:val="004B58BB"/>
    <w:pPr>
      <w:spacing w:before="100" w:beforeAutospacing="1" w:after="119" w:line="276" w:lineRule="auto"/>
      <w:jc w:val="both"/>
    </w:pPr>
    <w:rPr>
      <w:rFonts w:ascii="Arial" w:eastAsia="Times New Roman" w:hAnsi="Arial" w:cs="Arial"/>
      <w:lang w:eastAsia="cs-CZ"/>
    </w:rPr>
  </w:style>
  <w:style w:type="paragraph" w:customStyle="1" w:styleId="uvodniveta-western">
    <w:name w:val="uvodniveta-western"/>
    <w:basedOn w:val="Normln"/>
    <w:rsid w:val="004B58BB"/>
    <w:pPr>
      <w:spacing w:before="62" w:after="119" w:line="276" w:lineRule="auto"/>
      <w:jc w:val="both"/>
    </w:pPr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rsid w:val="004B58BB"/>
    <w:pPr>
      <w:spacing w:before="100" w:beforeAutospacing="1" w:after="142" w:line="276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4B58BB"/>
    <w:pPr>
      <w:spacing w:before="100" w:beforeAutospacing="1" w:after="0" w:line="276" w:lineRule="auto"/>
      <w:jc w:val="center"/>
    </w:pPr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5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BB"/>
  </w:style>
  <w:style w:type="paragraph" w:styleId="Zpat">
    <w:name w:val="footer"/>
    <w:basedOn w:val="Normln"/>
    <w:link w:val="ZpatChar"/>
    <w:uiPriority w:val="99"/>
    <w:unhideWhenUsed/>
    <w:rsid w:val="004B5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B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58B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58B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58B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828A4-EE40-40AE-99FF-9AAEC2F1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Kročilová</dc:creator>
  <cp:keywords/>
  <dc:description/>
  <cp:lastModifiedBy>Radka Chudová</cp:lastModifiedBy>
  <cp:revision>6</cp:revision>
  <cp:lastPrinted>2024-12-02T09:44:00Z</cp:lastPrinted>
  <dcterms:created xsi:type="dcterms:W3CDTF">2024-12-03T11:59:00Z</dcterms:created>
  <dcterms:modified xsi:type="dcterms:W3CDTF">2024-12-03T12:27:00Z</dcterms:modified>
</cp:coreProperties>
</file>