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4E" w:rsidRDefault="00EC6D4E" w:rsidP="00EC6D4E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Obec Šestajovice</w:t>
      </w:r>
    </w:p>
    <w:p w:rsidR="00EC6D4E" w:rsidRDefault="00EC6D4E" w:rsidP="00EC6D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Zastupitelstvo obce </w:t>
      </w:r>
    </w:p>
    <w:p w:rsidR="00EC6D4E" w:rsidRPr="000C5939" w:rsidRDefault="00AC150B" w:rsidP="00EC6D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>
            <wp:extent cx="723900" cy="861060"/>
            <wp:effectExtent l="0" t="0" r="0" b="0"/>
            <wp:docPr id="1" name="Obrázek 2" descr="Znak obce Šestajovice">
              <a:hlinkClick xmlns:a="http://schemas.openxmlformats.org/drawingml/2006/main" r:id="rId9" tooltip="&quot;Znak obce Šestaj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Šestajovi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2E6" w:rsidRPr="002E0EAD" w:rsidRDefault="00AC150B" w:rsidP="008B32E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19050" b="1905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" strokecolor="windowText">
                <o:lock v:ext="edit" shapetype="f"/>
              </v:line>
            </w:pict>
          </mc:Fallback>
        </mc:AlternateContent>
      </w:r>
      <w:r w:rsidR="00EC6D4E" w:rsidRPr="00C55394">
        <w:rPr>
          <w:rFonts w:ascii="Arial" w:hAnsi="Arial" w:cs="Arial"/>
          <w:sz w:val="32"/>
          <w:szCs w:val="32"/>
        </w:rPr>
        <w:br/>
      </w:r>
    </w:p>
    <w:p w:rsidR="00E7387E" w:rsidRDefault="00E7387E" w:rsidP="008B32E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365809" w:rsidRPr="002E0EAD" w:rsidRDefault="008B32E6" w:rsidP="004E448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</w:t>
      </w:r>
      <w:r w:rsidR="00365809" w:rsidRPr="002E0EAD">
        <w:rPr>
          <w:rFonts w:ascii="Arial" w:hAnsi="Arial" w:cs="Arial"/>
          <w:b/>
        </w:rPr>
        <w:t xml:space="preserve">o místním poplatku </w:t>
      </w:r>
      <w:r w:rsidR="00365809" w:rsidRPr="00C63031">
        <w:rPr>
          <w:rFonts w:ascii="Arial" w:hAnsi="Arial" w:cs="Arial"/>
          <w:b/>
        </w:rPr>
        <w:t>za odkládání komunálního odpadu z nemovité věci</w:t>
      </w:r>
    </w:p>
    <w:p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338B8">
        <w:rPr>
          <w:rFonts w:ascii="Arial" w:hAnsi="Arial" w:cs="Arial"/>
          <w:b w:val="0"/>
          <w:sz w:val="22"/>
          <w:szCs w:val="22"/>
        </w:rPr>
        <w:t>Šestajovice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E448D">
        <w:rPr>
          <w:rFonts w:ascii="Arial" w:hAnsi="Arial" w:cs="Arial"/>
          <w:b w:val="0"/>
          <w:sz w:val="22"/>
          <w:szCs w:val="22"/>
        </w:rPr>
        <w:t>14</w:t>
      </w:r>
      <w:r w:rsidR="00A921EE">
        <w:rPr>
          <w:rFonts w:ascii="Arial" w:hAnsi="Arial" w:cs="Arial"/>
          <w:b w:val="0"/>
          <w:sz w:val="22"/>
          <w:szCs w:val="22"/>
        </w:rPr>
        <w:t>. 12. 202</w:t>
      </w:r>
      <w:r w:rsidR="004E448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>č</w:t>
      </w:r>
      <w:r w:rsidR="004E448D" w:rsidRPr="00052F3D">
        <w:rPr>
          <w:rFonts w:ascii="Arial" w:hAnsi="Arial" w:cs="Arial"/>
          <w:b w:val="0"/>
          <w:sz w:val="22"/>
          <w:szCs w:val="22"/>
        </w:rPr>
        <w:t>.</w:t>
      </w:r>
      <w:r w:rsidR="00052F3D" w:rsidRPr="00052F3D">
        <w:rPr>
          <w:rFonts w:ascii="Arial" w:hAnsi="Arial" w:cs="Arial"/>
          <w:b w:val="0"/>
          <w:sz w:val="22"/>
          <w:szCs w:val="22"/>
        </w:rPr>
        <w:t xml:space="preserve"> 5</w:t>
      </w:r>
      <w:r w:rsidR="004E448D" w:rsidRPr="00052F3D">
        <w:rPr>
          <w:rFonts w:ascii="Arial" w:hAnsi="Arial" w:cs="Arial"/>
          <w:b w:val="0"/>
          <w:sz w:val="22"/>
          <w:szCs w:val="22"/>
        </w:rPr>
        <w:t xml:space="preserve"> </w:t>
      </w:r>
      <w:r w:rsidR="00A921EE" w:rsidRPr="004D23D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365809" w:rsidRPr="002E0EAD" w:rsidRDefault="00365809" w:rsidP="0036580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365809" w:rsidRPr="002E0EAD" w:rsidRDefault="00365809" w:rsidP="00D91A38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338B8">
        <w:rPr>
          <w:rFonts w:ascii="Arial" w:hAnsi="Arial" w:cs="Arial"/>
          <w:sz w:val="22"/>
          <w:szCs w:val="22"/>
        </w:rPr>
        <w:t>Šestajovice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365809" w:rsidRPr="002E0EAD" w:rsidRDefault="00075669" w:rsidP="00D91A38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D45F82">
        <w:rPr>
          <w:rFonts w:ascii="Arial" w:hAnsi="Arial" w:cs="Arial"/>
          <w:sz w:val="22"/>
          <w:szCs w:val="22"/>
        </w:rPr>
        <w:t>je O</w:t>
      </w:r>
      <w:r w:rsidR="00365809" w:rsidRPr="00D45F82">
        <w:rPr>
          <w:rFonts w:ascii="Arial" w:hAnsi="Arial" w:cs="Arial"/>
          <w:sz w:val="22"/>
          <w:szCs w:val="22"/>
        </w:rPr>
        <w:t>becní</w:t>
      </w:r>
      <w:r w:rsidR="00365809" w:rsidRPr="002E0EAD">
        <w:rPr>
          <w:rFonts w:ascii="Arial" w:hAnsi="Arial" w:cs="Arial"/>
          <w:sz w:val="22"/>
          <w:szCs w:val="22"/>
        </w:rPr>
        <w:t xml:space="preserve"> úřad </w:t>
      </w:r>
      <w:r w:rsidR="005338B8">
        <w:rPr>
          <w:rFonts w:ascii="Arial" w:hAnsi="Arial" w:cs="Arial"/>
          <w:sz w:val="22"/>
          <w:szCs w:val="22"/>
        </w:rPr>
        <w:t>Šestajovice</w:t>
      </w:r>
      <w:r w:rsidR="00365809" w:rsidRPr="002E0EAD">
        <w:rPr>
          <w:rFonts w:ascii="Arial" w:hAnsi="Arial" w:cs="Arial"/>
          <w:sz w:val="22"/>
          <w:szCs w:val="22"/>
        </w:rPr>
        <w:t>.</w:t>
      </w:r>
      <w:r w:rsidR="00365809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365809" w:rsidRPr="002E0EAD" w:rsidRDefault="00DB5712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</w:t>
      </w:r>
      <w:r w:rsidR="00365809">
        <w:rPr>
          <w:rFonts w:ascii="Arial" w:hAnsi="Arial" w:cs="Arial"/>
        </w:rPr>
        <w:t xml:space="preserve"> p</w:t>
      </w:r>
      <w:r w:rsidR="00365809" w:rsidRPr="002E0EAD">
        <w:rPr>
          <w:rFonts w:ascii="Arial" w:hAnsi="Arial" w:cs="Arial"/>
        </w:rPr>
        <w:t>oplatník</w:t>
      </w:r>
      <w:r w:rsidR="00365809">
        <w:rPr>
          <w:rFonts w:ascii="Arial" w:hAnsi="Arial" w:cs="Arial"/>
        </w:rPr>
        <w:t xml:space="preserve"> </w:t>
      </w:r>
      <w:r w:rsidR="000B3B60">
        <w:rPr>
          <w:rFonts w:ascii="Arial" w:hAnsi="Arial" w:cs="Arial"/>
        </w:rPr>
        <w:t>a plátce poplatku</w:t>
      </w:r>
    </w:p>
    <w:p w:rsidR="00365809" w:rsidRPr="003D427E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65809" w:rsidRPr="002E0EAD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365809" w:rsidRDefault="00365809" w:rsidP="00365809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075669" w:rsidRDefault="00365809" w:rsidP="00075669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>b) vlastník nemovité věci, ve které nemá bydliště žádná fyzická oso</w:t>
      </w:r>
      <w:r w:rsidR="00075669">
        <w:rPr>
          <w:sz w:val="22"/>
          <w:szCs w:val="22"/>
        </w:rPr>
        <w:t>ba.</w:t>
      </w:r>
    </w:p>
    <w:p w:rsidR="00075669" w:rsidRPr="00D45F82" w:rsidRDefault="00075669" w:rsidP="00075669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Plátcem poplatku je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D45F82">
        <w:rPr>
          <w:rFonts w:ascii="Arial" w:hAnsi="Arial" w:cs="Arial"/>
          <w:sz w:val="22"/>
          <w:szCs w:val="22"/>
        </w:rPr>
        <w:t xml:space="preserve"> </w:t>
      </w:r>
    </w:p>
    <w:p w:rsidR="00075669" w:rsidRPr="00D45F82" w:rsidRDefault="00075669" w:rsidP="00075669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a) společenství vlastníků jednotek, pokud pro dům vzniklo, nebo </w:t>
      </w:r>
    </w:p>
    <w:p w:rsidR="00075669" w:rsidRPr="00D45F82" w:rsidRDefault="00075669" w:rsidP="00075669">
      <w:pPr>
        <w:pStyle w:val="Default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vlastník nemovité věci v ostatních případech. </w:t>
      </w:r>
    </w:p>
    <w:p w:rsidR="00075669" w:rsidRPr="00D45F82" w:rsidRDefault="00075669" w:rsidP="00075669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 je povinen vybrat poplatek od poplatníka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45F82">
        <w:rPr>
          <w:rFonts w:ascii="Arial" w:hAnsi="Arial" w:cs="Arial"/>
          <w:sz w:val="22"/>
          <w:szCs w:val="22"/>
        </w:rPr>
        <w:t>.</w:t>
      </w:r>
    </w:p>
    <w:p w:rsidR="00075669" w:rsidRDefault="00075669" w:rsidP="00365809">
      <w:pPr>
        <w:pStyle w:val="Default"/>
        <w:ind w:firstLine="567"/>
        <w:rPr>
          <w:sz w:val="22"/>
          <w:szCs w:val="22"/>
        </w:rPr>
      </w:pPr>
    </w:p>
    <w:p w:rsidR="00365809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65809" w:rsidRDefault="00365809" w:rsidP="00365809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365809" w:rsidRDefault="00365809" w:rsidP="00365809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365809" w:rsidRDefault="00365809" w:rsidP="00365809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365809" w:rsidRPr="00D45F82" w:rsidRDefault="00365809" w:rsidP="00365809">
      <w:pPr>
        <w:pStyle w:val="Nzvylnk"/>
        <w:rPr>
          <w:rFonts w:ascii="Arial" w:hAnsi="Arial" w:cs="Arial"/>
        </w:rPr>
      </w:pPr>
      <w:r w:rsidRPr="00D45F82">
        <w:rPr>
          <w:rFonts w:ascii="Arial" w:hAnsi="Arial" w:cs="Arial"/>
        </w:rPr>
        <w:t>Ohlašovací povinnost</w:t>
      </w:r>
    </w:p>
    <w:p w:rsidR="00365809" w:rsidRPr="00D45F82" w:rsidRDefault="00DB5712" w:rsidP="00D91A38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</w:t>
      </w:r>
      <w:r w:rsidR="00075669" w:rsidRPr="00D45F82">
        <w:rPr>
          <w:rFonts w:ascii="Arial" w:hAnsi="Arial" w:cs="Arial"/>
          <w:sz w:val="22"/>
          <w:szCs w:val="22"/>
        </w:rPr>
        <w:t>látce</w:t>
      </w:r>
      <w:r w:rsidR="00365809" w:rsidRPr="00D45F82">
        <w:rPr>
          <w:rFonts w:ascii="Arial" w:hAnsi="Arial" w:cs="Arial"/>
          <w:sz w:val="22"/>
          <w:szCs w:val="22"/>
        </w:rPr>
        <w:t xml:space="preserve"> poplatku je povinen podat správci poplatku ohlášení nejpozději do </w:t>
      </w:r>
      <w:r w:rsidR="005338B8" w:rsidRPr="00D45F82">
        <w:rPr>
          <w:rFonts w:ascii="Arial" w:hAnsi="Arial" w:cs="Arial"/>
          <w:sz w:val="22"/>
          <w:szCs w:val="22"/>
        </w:rPr>
        <w:t>30</w:t>
      </w:r>
      <w:r w:rsidR="00365809" w:rsidRPr="00D45F82">
        <w:rPr>
          <w:rFonts w:ascii="Arial" w:hAnsi="Arial" w:cs="Arial"/>
          <w:sz w:val="22"/>
          <w:szCs w:val="22"/>
        </w:rPr>
        <w:t xml:space="preserve">  dnů </w:t>
      </w:r>
      <w:r w:rsidR="00075669" w:rsidRPr="00D45F82">
        <w:rPr>
          <w:rFonts w:ascii="Arial" w:hAnsi="Arial" w:cs="Arial"/>
          <w:sz w:val="22"/>
          <w:szCs w:val="22"/>
        </w:rPr>
        <w:t>ode dne, kdy nabyl postavení plátce</w:t>
      </w:r>
      <w:r w:rsidR="00365809" w:rsidRPr="00D45F82">
        <w:rPr>
          <w:rFonts w:ascii="Arial" w:hAnsi="Arial" w:cs="Arial"/>
          <w:sz w:val="22"/>
          <w:szCs w:val="22"/>
        </w:rPr>
        <w:t xml:space="preserve"> po</w:t>
      </w:r>
      <w:r w:rsidRPr="00D45F82">
        <w:rPr>
          <w:rFonts w:ascii="Arial" w:hAnsi="Arial" w:cs="Arial"/>
          <w:sz w:val="22"/>
          <w:szCs w:val="22"/>
        </w:rPr>
        <w:t>plat</w:t>
      </w:r>
      <w:r w:rsidR="008332D3">
        <w:rPr>
          <w:rFonts w:ascii="Arial" w:hAnsi="Arial" w:cs="Arial"/>
          <w:sz w:val="22"/>
          <w:szCs w:val="22"/>
        </w:rPr>
        <w:t xml:space="preserve">ku. Pozbytí </w:t>
      </w:r>
      <w:r w:rsidR="008332D3" w:rsidRPr="0041013B">
        <w:rPr>
          <w:rFonts w:ascii="Arial" w:hAnsi="Arial" w:cs="Arial"/>
          <w:sz w:val="22"/>
          <w:szCs w:val="22"/>
        </w:rPr>
        <w:t>postavení plátce</w:t>
      </w:r>
      <w:r w:rsidR="00365809" w:rsidRPr="0041013B">
        <w:rPr>
          <w:rFonts w:ascii="Arial" w:hAnsi="Arial" w:cs="Arial"/>
          <w:sz w:val="22"/>
          <w:szCs w:val="22"/>
        </w:rPr>
        <w:t xml:space="preserve"> ohlásí</w:t>
      </w:r>
      <w:r w:rsidR="004D23DF">
        <w:rPr>
          <w:rFonts w:ascii="Arial" w:hAnsi="Arial" w:cs="Arial"/>
          <w:sz w:val="22"/>
          <w:szCs w:val="22"/>
        </w:rPr>
        <w:t xml:space="preserve"> plátce poplatku</w:t>
      </w:r>
      <w:r w:rsidR="00365809" w:rsidRPr="00D45F82">
        <w:rPr>
          <w:rFonts w:ascii="Arial" w:hAnsi="Arial" w:cs="Arial"/>
          <w:sz w:val="22"/>
          <w:szCs w:val="22"/>
        </w:rPr>
        <w:t xml:space="preserve"> správci poplatku ve lhůtě </w:t>
      </w:r>
      <w:r w:rsidR="005338B8" w:rsidRPr="00D45F82">
        <w:rPr>
          <w:rFonts w:ascii="Arial" w:hAnsi="Arial" w:cs="Arial"/>
          <w:sz w:val="22"/>
          <w:szCs w:val="22"/>
        </w:rPr>
        <w:t xml:space="preserve">30 </w:t>
      </w:r>
      <w:r w:rsidR="00365809" w:rsidRPr="00D45F82">
        <w:rPr>
          <w:rFonts w:ascii="Arial" w:hAnsi="Arial" w:cs="Arial"/>
          <w:sz w:val="22"/>
          <w:szCs w:val="22"/>
        </w:rPr>
        <w:t>dnů.</w:t>
      </w:r>
    </w:p>
    <w:p w:rsidR="00075669" w:rsidRPr="00D45F82" w:rsidRDefault="00075669" w:rsidP="00075669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V ohlášení plátce poplatku uvede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D45F82">
        <w:rPr>
          <w:rFonts w:ascii="Arial" w:hAnsi="Arial" w:cs="Arial"/>
          <w:sz w:val="22"/>
          <w:szCs w:val="22"/>
        </w:rPr>
        <w:t xml:space="preserve"> </w:t>
      </w:r>
    </w:p>
    <w:p w:rsidR="00075669" w:rsidRPr="00D45F82" w:rsidRDefault="00075669" w:rsidP="00075669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D45F82">
        <w:rPr>
          <w:rFonts w:ascii="Arial" w:hAnsi="Arial" w:cs="Arial"/>
          <w:sz w:val="22"/>
          <w:szCs w:val="22"/>
        </w:rPr>
        <w:t>adresu</w:t>
      </w:r>
      <w:proofErr w:type="gramEnd"/>
      <w:r w:rsidR="00052F3D">
        <w:rPr>
          <w:rFonts w:ascii="Arial" w:hAnsi="Arial" w:cs="Arial"/>
          <w:sz w:val="22"/>
          <w:szCs w:val="22"/>
        </w:rPr>
        <w:t xml:space="preserve"> </w:t>
      </w:r>
      <w:r w:rsidRPr="00D45F82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:rsidR="00075669" w:rsidRPr="00D45F82" w:rsidRDefault="00075669" w:rsidP="00075669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075669" w:rsidRPr="00E7387E" w:rsidRDefault="00075669" w:rsidP="00075669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387E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</w:t>
      </w:r>
      <w:r w:rsidR="00E7387E" w:rsidRPr="00E7387E">
        <w:rPr>
          <w:rFonts w:ascii="Arial" w:hAnsi="Arial" w:cs="Arial"/>
          <w:sz w:val="22"/>
          <w:szCs w:val="22"/>
        </w:rPr>
        <w:t>eaci podle katastru nemovitostí</w:t>
      </w:r>
      <w:r w:rsidRPr="00E7387E">
        <w:rPr>
          <w:rFonts w:ascii="Arial" w:hAnsi="Arial" w:cs="Arial"/>
          <w:sz w:val="22"/>
          <w:szCs w:val="22"/>
        </w:rPr>
        <w:t>.</w:t>
      </w:r>
    </w:p>
    <w:p w:rsidR="00075669" w:rsidRPr="00D45F82" w:rsidRDefault="00075669" w:rsidP="00075669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75669" w:rsidRPr="00D45F82" w:rsidRDefault="00075669" w:rsidP="00075669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Dojde-li ke změně údajů uvedených v ohlášení, je plátce povinen tuto změnu oznámit do 30 dnů ode dne, kdy nastala.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075669" w:rsidRPr="004D23DF" w:rsidRDefault="00075669" w:rsidP="00075669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</w:t>
      </w:r>
      <w:r w:rsidRPr="00075669">
        <w:rPr>
          <w:rFonts w:ascii="Arial" w:hAnsi="Arial" w:cs="Arial"/>
          <w:color w:val="FF0000"/>
          <w:sz w:val="22"/>
          <w:szCs w:val="22"/>
        </w:rPr>
        <w:t xml:space="preserve"> </w:t>
      </w:r>
      <w:r w:rsidRPr="00D45F82"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4D23DF" w:rsidRPr="00075669" w:rsidRDefault="004D23DF" w:rsidP="004D23DF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Není-li plátce, plní ohlašovací povinnost poplatník. </w:t>
      </w: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365809" w:rsidRPr="002E0EAD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2"/>
      </w:r>
    </w:p>
    <w:p w:rsidR="00CE7F2A" w:rsidRPr="00D45F82" w:rsidRDefault="00CE7F2A" w:rsidP="00CE7F2A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Základem dílčího poplatku je kapacita soustřeďovacích prostředků pro nemovitou věc na odpad za kalendářní měsíc v litrech připadající na poplatníka. </w:t>
      </w:r>
    </w:p>
    <w:p w:rsidR="00090E94" w:rsidRPr="00D45F82" w:rsidRDefault="00090E94" w:rsidP="00090E94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090E94" w:rsidRPr="00D45F82" w:rsidRDefault="00090E94" w:rsidP="00090E94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090E94" w:rsidRPr="00D45F82" w:rsidRDefault="00090E94" w:rsidP="00090E94">
      <w:pPr>
        <w:pStyle w:val="Default"/>
        <w:ind w:left="567"/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kapacita soustřeďovacích prostředků pro tuto nemovitou věc na kalendářní měsíc </w:t>
      </w:r>
      <w:r w:rsidRPr="00D45F82">
        <w:rPr>
          <w:color w:val="auto"/>
          <w:sz w:val="22"/>
          <w:szCs w:val="22"/>
        </w:rPr>
        <w:br/>
        <w:t xml:space="preserve">v případě, že v nemovité věci nemá bydliště žádná fyzická osoba. </w:t>
      </w:r>
    </w:p>
    <w:p w:rsidR="0023710C" w:rsidRPr="00E7387E" w:rsidRDefault="00365809" w:rsidP="00E7387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4D23DF">
        <w:rPr>
          <w:rFonts w:ascii="Arial" w:hAnsi="Arial" w:cs="Arial"/>
          <w:sz w:val="22"/>
          <w:szCs w:val="22"/>
        </w:rPr>
        <w:t>15</w:t>
      </w:r>
      <w:r w:rsidRPr="00D45F82">
        <w:rPr>
          <w:rFonts w:ascii="Arial" w:hAnsi="Arial" w:cs="Arial"/>
          <w:sz w:val="22"/>
          <w:szCs w:val="22"/>
        </w:rPr>
        <w:t xml:space="preserve"> l. </w:t>
      </w: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>Čl. 6</w:t>
      </w:r>
    </w:p>
    <w:p w:rsidR="00365809" w:rsidRPr="002E0EAD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D45F82" w:rsidRPr="00E7387E" w:rsidRDefault="00365809" w:rsidP="004D23DF">
      <w:pPr>
        <w:spacing w:before="120" w:after="60"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7387E">
        <w:rPr>
          <w:rFonts w:ascii="Arial" w:hAnsi="Arial" w:cs="Arial"/>
          <w:sz w:val="22"/>
          <w:szCs w:val="22"/>
        </w:rPr>
        <w:t xml:space="preserve">Sazba poplatku činí </w:t>
      </w:r>
      <w:r w:rsidR="004E448D" w:rsidRPr="00052F3D">
        <w:rPr>
          <w:rFonts w:ascii="Arial" w:hAnsi="Arial" w:cs="Arial"/>
          <w:sz w:val="22"/>
          <w:szCs w:val="22"/>
        </w:rPr>
        <w:t>0,71</w:t>
      </w:r>
      <w:r w:rsidR="005D455B" w:rsidRPr="00E7387E">
        <w:rPr>
          <w:rFonts w:ascii="Arial" w:hAnsi="Arial" w:cs="Arial"/>
          <w:sz w:val="22"/>
          <w:szCs w:val="22"/>
        </w:rPr>
        <w:t xml:space="preserve"> Kč </w:t>
      </w:r>
      <w:r w:rsidR="004D23DF">
        <w:rPr>
          <w:rFonts w:ascii="Arial" w:hAnsi="Arial" w:cs="Arial"/>
          <w:sz w:val="22"/>
          <w:szCs w:val="22"/>
        </w:rPr>
        <w:t>za 1 litr.</w:t>
      </w: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365809" w:rsidRPr="00D45F82" w:rsidRDefault="00365809" w:rsidP="00365809">
      <w:pPr>
        <w:pStyle w:val="Nzvylnk"/>
        <w:rPr>
          <w:rFonts w:ascii="Arial" w:hAnsi="Arial" w:cs="Arial"/>
        </w:rPr>
      </w:pPr>
      <w:r w:rsidRPr="00D45F82">
        <w:rPr>
          <w:rFonts w:ascii="Arial" w:hAnsi="Arial" w:cs="Arial"/>
        </w:rPr>
        <w:t>Výpočet poplatku</w:t>
      </w:r>
      <w:r w:rsidRPr="00D45F82">
        <w:rPr>
          <w:rStyle w:val="Znakapoznpodarou"/>
          <w:rFonts w:ascii="Arial" w:hAnsi="Arial" w:cs="Arial"/>
        </w:rPr>
        <w:footnoteReference w:id="13"/>
      </w:r>
    </w:p>
    <w:p w:rsidR="00E30C54" w:rsidRPr="00D45F82" w:rsidRDefault="00E30C54" w:rsidP="00E30C54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:rsidR="00365809" w:rsidRPr="00D45F82" w:rsidRDefault="00365809" w:rsidP="0036580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365809" w:rsidRPr="00D45F82" w:rsidRDefault="00365809" w:rsidP="0036580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365809" w:rsidRPr="00C03503" w:rsidRDefault="007B64DE" w:rsidP="00365809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365809" w:rsidRDefault="00365809" w:rsidP="00365809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7B64DE" w:rsidRPr="00D45F82" w:rsidRDefault="007B64DE" w:rsidP="007B64DE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4E448D">
        <w:rPr>
          <w:rFonts w:ascii="Arial" w:hAnsi="Arial" w:cs="Arial"/>
          <w:sz w:val="22"/>
          <w:szCs w:val="22"/>
        </w:rPr>
        <w:t>31. prosince příslušného kalendářního roku.</w:t>
      </w:r>
    </w:p>
    <w:p w:rsidR="00D45F82" w:rsidRPr="00A14E41" w:rsidRDefault="007B64DE" w:rsidP="00D45F82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4E41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</w:p>
    <w:p w:rsidR="00A14E41" w:rsidRPr="00D45F82" w:rsidRDefault="00A14E41" w:rsidP="00A14E41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lastRenderedPageBreak/>
        <w:t>Čl. 9</w:t>
      </w:r>
    </w:p>
    <w:p w:rsidR="00A14E41" w:rsidRDefault="00A14E41" w:rsidP="00A14E41">
      <w:pPr>
        <w:pStyle w:val="Nzvylnk"/>
      </w:pPr>
      <w:r>
        <w:rPr>
          <w:rFonts w:ascii="Arial" w:hAnsi="Arial" w:cs="Arial"/>
        </w:rPr>
        <w:t>Osvobození od</w:t>
      </w:r>
      <w:r w:rsidRPr="005155AF">
        <w:rPr>
          <w:rFonts w:ascii="Arial" w:hAnsi="Arial" w:cs="Arial"/>
        </w:rPr>
        <w:t xml:space="preserve"> poplatku</w:t>
      </w:r>
      <w:r w:rsidRPr="005155AF">
        <w:t xml:space="preserve"> </w:t>
      </w:r>
    </w:p>
    <w:p w:rsidR="00A14E41" w:rsidRPr="00E7387E" w:rsidRDefault="00A14E41" w:rsidP="00E7387E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387E">
        <w:rPr>
          <w:rFonts w:ascii="Arial" w:hAnsi="Arial" w:cs="Arial"/>
          <w:sz w:val="22"/>
          <w:szCs w:val="22"/>
        </w:rPr>
        <w:t xml:space="preserve">Od poplatku se osvobozuje osoba, které poplatková povinnost vznikla z důvodu toho, že má v nemovité věci bydliště a současně je i poplatníkem z důvodu vlastnictví </w:t>
      </w:r>
      <w:r w:rsidR="004E448D">
        <w:rPr>
          <w:rFonts w:ascii="Arial" w:hAnsi="Arial" w:cs="Arial"/>
          <w:sz w:val="22"/>
          <w:szCs w:val="22"/>
        </w:rPr>
        <w:t xml:space="preserve">další </w:t>
      </w:r>
      <w:r w:rsidRPr="00E7387E">
        <w:rPr>
          <w:rFonts w:ascii="Arial" w:hAnsi="Arial" w:cs="Arial"/>
          <w:sz w:val="22"/>
          <w:szCs w:val="22"/>
        </w:rPr>
        <w:t>nemovité věci</w:t>
      </w:r>
      <w:r w:rsidR="004E448D">
        <w:rPr>
          <w:rFonts w:ascii="Arial" w:hAnsi="Arial" w:cs="Arial"/>
          <w:sz w:val="22"/>
          <w:szCs w:val="22"/>
        </w:rPr>
        <w:t xml:space="preserve"> v obci</w:t>
      </w:r>
      <w:r w:rsidRPr="00E7387E">
        <w:rPr>
          <w:rFonts w:ascii="Arial" w:hAnsi="Arial" w:cs="Arial"/>
          <w:sz w:val="22"/>
          <w:szCs w:val="22"/>
        </w:rPr>
        <w:t>, ve které nemá bydl</w:t>
      </w:r>
      <w:r w:rsidR="00D967D9">
        <w:rPr>
          <w:rFonts w:ascii="Arial" w:hAnsi="Arial" w:cs="Arial"/>
          <w:sz w:val="22"/>
          <w:szCs w:val="22"/>
        </w:rPr>
        <w:t xml:space="preserve">iště žádná fyzická osoba, a to </w:t>
      </w:r>
      <w:r w:rsidRPr="00E7387E">
        <w:rPr>
          <w:rFonts w:ascii="Arial" w:hAnsi="Arial" w:cs="Arial"/>
          <w:sz w:val="22"/>
          <w:szCs w:val="22"/>
        </w:rPr>
        <w:t>o</w:t>
      </w:r>
      <w:r w:rsidR="00D967D9">
        <w:rPr>
          <w:rFonts w:ascii="Arial" w:hAnsi="Arial" w:cs="Arial"/>
          <w:sz w:val="22"/>
          <w:szCs w:val="22"/>
        </w:rPr>
        <w:t>d</w:t>
      </w:r>
      <w:r w:rsidRPr="00E7387E">
        <w:rPr>
          <w:rFonts w:ascii="Arial" w:hAnsi="Arial" w:cs="Arial"/>
          <w:sz w:val="22"/>
          <w:szCs w:val="22"/>
        </w:rPr>
        <w:t xml:space="preserve"> poplatku podle čl. 2 </w:t>
      </w:r>
      <w:r w:rsidR="00164607">
        <w:rPr>
          <w:rFonts w:ascii="Arial" w:hAnsi="Arial" w:cs="Arial"/>
          <w:sz w:val="22"/>
          <w:szCs w:val="22"/>
        </w:rPr>
        <w:t>odst. 2 písm. b) této vyhlášky.</w:t>
      </w:r>
    </w:p>
    <w:p w:rsidR="00365809" w:rsidRPr="00D45F82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A14E41">
        <w:rPr>
          <w:rFonts w:ascii="Arial" w:hAnsi="Arial" w:cs="Arial"/>
        </w:rPr>
        <w:t>10</w:t>
      </w:r>
    </w:p>
    <w:p w:rsidR="00365809" w:rsidRPr="005155AF" w:rsidRDefault="00365809" w:rsidP="00365809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365809" w:rsidRPr="00A73DE8" w:rsidRDefault="00365809" w:rsidP="00A14E41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B64DE" w:rsidRPr="00D45F82" w:rsidRDefault="007B64DE" w:rsidP="007B64DE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Nebudou-li poplatky odvedeny plátcem poplatku včas nebo ve správné výši, vyměří mu správce poplatku poplatek platebním výměrem k přímé úhradě.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B64DE" w:rsidRPr="00D45F82" w:rsidRDefault="007B64DE" w:rsidP="007B64DE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365809" w:rsidRPr="002E0EAD" w:rsidRDefault="00365809" w:rsidP="0036580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A14E41">
        <w:rPr>
          <w:rFonts w:ascii="Arial" w:hAnsi="Arial" w:cs="Arial"/>
        </w:rPr>
        <w:t>1</w:t>
      </w:r>
    </w:p>
    <w:p w:rsidR="00365809" w:rsidRPr="002E0EAD" w:rsidRDefault="00365809" w:rsidP="00365809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365809" w:rsidRPr="00D45F82" w:rsidRDefault="00365809" w:rsidP="00D91A38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na </w:t>
      </w:r>
      <w:r w:rsidRPr="00D45F82">
        <w:rPr>
          <w:rFonts w:ascii="Arial" w:hAnsi="Arial" w:cs="Arial"/>
          <w:sz w:val="22"/>
          <w:szCs w:val="22"/>
        </w:rPr>
        <w:t>tomto pozemku.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B64DE" w:rsidRPr="00D45F82" w:rsidRDefault="007B64DE" w:rsidP="007B64D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Na svěřen</w:t>
      </w:r>
      <w:r w:rsidR="00164607">
        <w:rPr>
          <w:rFonts w:ascii="Arial" w:hAnsi="Arial" w:cs="Arial"/>
          <w:sz w:val="22"/>
          <w:szCs w:val="22"/>
        </w:rPr>
        <w:t>ec</w:t>
      </w:r>
      <w:r w:rsidRPr="00D45F82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365809" w:rsidRPr="00D45F82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>Čl. 1</w:t>
      </w:r>
      <w:r w:rsidR="00A14E41">
        <w:rPr>
          <w:rFonts w:ascii="Arial" w:hAnsi="Arial" w:cs="Arial"/>
        </w:rPr>
        <w:t>2</w:t>
      </w:r>
    </w:p>
    <w:p w:rsidR="00365809" w:rsidRPr="002E0EAD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365809" w:rsidRDefault="00365809" w:rsidP="0036580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B32E6" w:rsidRDefault="008B32E6" w:rsidP="00D45F82">
      <w:pPr>
        <w:rPr>
          <w:rFonts w:ascii="Arial" w:hAnsi="Arial" w:cs="Arial"/>
          <w:b/>
          <w:sz w:val="22"/>
          <w:szCs w:val="22"/>
        </w:rPr>
      </w:pPr>
    </w:p>
    <w:p w:rsidR="00C03503" w:rsidRDefault="00C03503" w:rsidP="00D45F82">
      <w:pPr>
        <w:rPr>
          <w:rFonts w:ascii="Arial" w:hAnsi="Arial" w:cs="Arial"/>
          <w:b/>
          <w:sz w:val="22"/>
          <w:szCs w:val="22"/>
        </w:rPr>
      </w:pPr>
    </w:p>
    <w:p w:rsidR="00C03503" w:rsidRDefault="00C03503" w:rsidP="00D45F82">
      <w:pPr>
        <w:rPr>
          <w:rFonts w:ascii="Arial" w:hAnsi="Arial" w:cs="Arial"/>
          <w:b/>
          <w:sz w:val="22"/>
          <w:szCs w:val="22"/>
        </w:rPr>
      </w:pPr>
    </w:p>
    <w:p w:rsidR="00C03503" w:rsidRDefault="00C03503" w:rsidP="00D45F82">
      <w:pPr>
        <w:rPr>
          <w:rFonts w:ascii="Arial" w:hAnsi="Arial" w:cs="Arial"/>
          <w:b/>
          <w:sz w:val="22"/>
          <w:szCs w:val="22"/>
        </w:rPr>
      </w:pPr>
    </w:p>
    <w:p w:rsidR="00C03503" w:rsidRDefault="00C03503" w:rsidP="00D45F82">
      <w:pPr>
        <w:rPr>
          <w:rFonts w:ascii="Arial" w:hAnsi="Arial" w:cs="Arial"/>
          <w:b/>
          <w:sz w:val="22"/>
          <w:szCs w:val="22"/>
        </w:rPr>
      </w:pPr>
    </w:p>
    <w:p w:rsidR="008B32E6" w:rsidRPr="000B3B60" w:rsidRDefault="008B32E6" w:rsidP="008B32E6">
      <w:pPr>
        <w:jc w:val="center"/>
        <w:rPr>
          <w:rFonts w:ascii="Arial" w:hAnsi="Arial" w:cs="Arial"/>
          <w:b/>
        </w:rPr>
      </w:pPr>
      <w:r w:rsidRPr="000B3B60">
        <w:rPr>
          <w:rFonts w:ascii="Arial" w:hAnsi="Arial" w:cs="Arial"/>
          <w:b/>
        </w:rPr>
        <w:lastRenderedPageBreak/>
        <w:t xml:space="preserve">Čl. </w:t>
      </w:r>
      <w:r w:rsidR="00B41648" w:rsidRPr="000B3B60">
        <w:rPr>
          <w:rFonts w:ascii="Arial" w:hAnsi="Arial" w:cs="Arial"/>
          <w:b/>
        </w:rPr>
        <w:t>1</w:t>
      </w:r>
      <w:r w:rsidR="00A14E41" w:rsidRPr="000B3B60">
        <w:rPr>
          <w:rFonts w:ascii="Arial" w:hAnsi="Arial" w:cs="Arial"/>
          <w:b/>
        </w:rPr>
        <w:t>3</w:t>
      </w:r>
    </w:p>
    <w:p w:rsidR="004E448D" w:rsidRPr="000B3B60" w:rsidRDefault="004E448D" w:rsidP="000B3B60">
      <w:pPr>
        <w:jc w:val="center"/>
        <w:rPr>
          <w:rFonts w:ascii="Arial" w:hAnsi="Arial" w:cs="Arial"/>
          <w:b/>
        </w:rPr>
      </w:pPr>
      <w:r w:rsidRPr="000B3B60">
        <w:rPr>
          <w:rFonts w:ascii="Arial" w:hAnsi="Arial" w:cs="Arial"/>
          <w:b/>
        </w:rPr>
        <w:t>Zrušovací ustanovení</w:t>
      </w:r>
    </w:p>
    <w:p w:rsidR="000B3B60" w:rsidRDefault="000B3B60" w:rsidP="000B3B60">
      <w:pPr>
        <w:jc w:val="both"/>
      </w:pPr>
    </w:p>
    <w:p w:rsidR="004E448D" w:rsidRPr="00355137" w:rsidRDefault="00052F3D" w:rsidP="000B3B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</w:t>
      </w:r>
      <w:bookmarkStart w:id="0" w:name="_GoBack"/>
      <w:bookmarkEnd w:id="0"/>
      <w:r w:rsidR="004E448D" w:rsidRPr="00355137">
        <w:rPr>
          <w:rFonts w:ascii="Arial" w:hAnsi="Arial" w:cs="Arial"/>
          <w:sz w:val="22"/>
          <w:szCs w:val="22"/>
        </w:rPr>
        <w:t>becně závazná vyhláška č. 2/2021, o</w:t>
      </w:r>
      <w:r w:rsidR="000B3B60">
        <w:rPr>
          <w:rFonts w:ascii="Arial" w:hAnsi="Arial" w:cs="Arial"/>
          <w:sz w:val="22"/>
          <w:szCs w:val="22"/>
        </w:rPr>
        <w:t xml:space="preserve"> místním poplatku za odkládání </w:t>
      </w:r>
      <w:r w:rsidR="004E448D" w:rsidRPr="00355137">
        <w:rPr>
          <w:rFonts w:ascii="Arial" w:hAnsi="Arial" w:cs="Arial"/>
          <w:sz w:val="22"/>
          <w:szCs w:val="22"/>
        </w:rPr>
        <w:t xml:space="preserve"> komunálního odpadu z nemovité věci ze dne 15. 12. 2021.</w:t>
      </w:r>
    </w:p>
    <w:p w:rsidR="004E448D" w:rsidRDefault="004E448D" w:rsidP="000B3B60">
      <w:pPr>
        <w:jc w:val="both"/>
        <w:rPr>
          <w:rFonts w:ascii="Arial" w:hAnsi="Arial" w:cs="Arial"/>
          <w:sz w:val="22"/>
          <w:szCs w:val="22"/>
        </w:rPr>
      </w:pPr>
    </w:p>
    <w:p w:rsidR="00355137" w:rsidRPr="004E448D" w:rsidRDefault="00355137" w:rsidP="004E448D">
      <w:pPr>
        <w:jc w:val="both"/>
        <w:rPr>
          <w:rFonts w:ascii="Arial" w:hAnsi="Arial" w:cs="Arial"/>
          <w:sz w:val="22"/>
          <w:szCs w:val="22"/>
        </w:rPr>
      </w:pPr>
    </w:p>
    <w:p w:rsidR="004E448D" w:rsidRPr="000B3B60" w:rsidRDefault="004E448D" w:rsidP="008B32E6">
      <w:pPr>
        <w:jc w:val="center"/>
        <w:rPr>
          <w:rFonts w:ascii="Arial" w:hAnsi="Arial" w:cs="Arial"/>
          <w:b/>
        </w:rPr>
      </w:pPr>
      <w:r w:rsidRPr="000B3B60">
        <w:rPr>
          <w:rFonts w:ascii="Arial" w:hAnsi="Arial" w:cs="Arial"/>
          <w:b/>
        </w:rPr>
        <w:t>Čl. 14</w:t>
      </w:r>
    </w:p>
    <w:p w:rsidR="008B32E6" w:rsidRPr="000B3B60" w:rsidRDefault="000B3B60" w:rsidP="00D45F82">
      <w:pPr>
        <w:jc w:val="center"/>
        <w:rPr>
          <w:rFonts w:ascii="Arial" w:hAnsi="Arial" w:cs="Arial"/>
          <w:b/>
        </w:rPr>
      </w:pPr>
      <w:r w:rsidRPr="00601E4C">
        <w:rPr>
          <w:rFonts w:ascii="Arial" w:hAnsi="Arial" w:cs="Arial"/>
          <w:b/>
        </w:rPr>
        <w:t>Účinnost</w:t>
      </w:r>
    </w:p>
    <w:p w:rsidR="008B32E6" w:rsidRPr="000B3B60" w:rsidRDefault="008B32E6" w:rsidP="008B32E6">
      <w:pPr>
        <w:jc w:val="both"/>
        <w:rPr>
          <w:rFonts w:ascii="Arial" w:hAnsi="Arial" w:cs="Arial"/>
        </w:rPr>
      </w:pPr>
    </w:p>
    <w:p w:rsidR="008B32E6" w:rsidRPr="00D45F82" w:rsidRDefault="008B32E6" w:rsidP="000B3B60">
      <w:pPr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Tato vyhláška nabývá účinnosti </w:t>
      </w:r>
      <w:r w:rsidR="00D45F82" w:rsidRPr="00D45F82">
        <w:rPr>
          <w:rFonts w:ascii="Arial" w:hAnsi="Arial" w:cs="Arial"/>
          <w:sz w:val="22"/>
          <w:szCs w:val="22"/>
        </w:rPr>
        <w:t>dnem 1. ledna 202</w:t>
      </w:r>
      <w:r w:rsidR="004E448D">
        <w:rPr>
          <w:rFonts w:ascii="Arial" w:hAnsi="Arial" w:cs="Arial"/>
          <w:sz w:val="22"/>
          <w:szCs w:val="22"/>
        </w:rPr>
        <w:t>3</w:t>
      </w:r>
      <w:r w:rsidR="00D45F82" w:rsidRPr="00D45F82">
        <w:rPr>
          <w:rFonts w:ascii="Arial" w:hAnsi="Arial" w:cs="Arial"/>
          <w:sz w:val="22"/>
          <w:szCs w:val="22"/>
        </w:rPr>
        <w:t>.</w:t>
      </w:r>
    </w:p>
    <w:p w:rsidR="00E22993" w:rsidRDefault="00E22993" w:rsidP="00E22993">
      <w:pPr>
        <w:jc w:val="both"/>
        <w:rPr>
          <w:rFonts w:ascii="Arial" w:hAnsi="Arial" w:cs="Arial"/>
          <w:i/>
          <w:sz w:val="22"/>
          <w:szCs w:val="22"/>
        </w:rPr>
      </w:pPr>
    </w:p>
    <w:p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:rsidR="00E22993" w:rsidRPr="00765052" w:rsidRDefault="00E22993" w:rsidP="00E22993">
      <w:pPr>
        <w:jc w:val="both"/>
        <w:rPr>
          <w:rFonts w:ascii="Arial" w:hAnsi="Arial" w:cs="Arial"/>
          <w:sz w:val="22"/>
          <w:szCs w:val="22"/>
        </w:rPr>
      </w:pPr>
    </w:p>
    <w:p w:rsidR="008B32E6" w:rsidRDefault="008B32E6" w:rsidP="008B32E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A14E41" w:rsidRDefault="00A14E41" w:rsidP="008B32E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A14E41" w:rsidRDefault="00A14E41" w:rsidP="008B32E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A14E41" w:rsidRPr="00FB6AE5" w:rsidRDefault="00A14E41" w:rsidP="008B32E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5D6C54" w:rsidRPr="00082025" w:rsidRDefault="005D6C54" w:rsidP="005D6C5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82025">
        <w:rPr>
          <w:rFonts w:ascii="Arial" w:hAnsi="Arial" w:cs="Arial"/>
          <w:sz w:val="22"/>
          <w:szCs w:val="22"/>
        </w:rPr>
        <w:t>…………………………                                                                              .....…………………</w:t>
      </w:r>
    </w:p>
    <w:p w:rsidR="005D6C54" w:rsidRPr="00082025" w:rsidRDefault="005D6C54" w:rsidP="005D6C5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Vlastimil Skořepa</w:t>
      </w:r>
      <w:r w:rsidR="004E448D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Alena Postupová</w:t>
      </w:r>
      <w:r w:rsidR="004E448D">
        <w:rPr>
          <w:rFonts w:ascii="Arial" w:hAnsi="Arial" w:cs="Arial"/>
          <w:sz w:val="22"/>
          <w:szCs w:val="22"/>
        </w:rPr>
        <w:t xml:space="preserve"> v. r.</w:t>
      </w:r>
    </w:p>
    <w:p w:rsidR="005D6C54" w:rsidRPr="00816479" w:rsidRDefault="00D86ED5" w:rsidP="005D6C5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m</w:t>
      </w:r>
      <w:r w:rsidR="005D6C54" w:rsidRPr="00082025">
        <w:rPr>
          <w:rFonts w:ascii="Arial" w:hAnsi="Arial" w:cs="Arial"/>
          <w:sz w:val="22"/>
          <w:szCs w:val="22"/>
        </w:rPr>
        <w:t>ístostarosta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5D6C54" w:rsidRPr="00816479">
        <w:rPr>
          <w:rFonts w:ascii="Arial" w:hAnsi="Arial" w:cs="Arial"/>
          <w:color w:val="000000"/>
          <w:sz w:val="22"/>
          <w:szCs w:val="22"/>
        </w:rPr>
        <w:t>starost</w:t>
      </w:r>
      <w:r w:rsidR="005D6C54">
        <w:rPr>
          <w:rFonts w:ascii="Arial" w:hAnsi="Arial" w:cs="Arial"/>
          <w:color w:val="000000"/>
          <w:sz w:val="22"/>
          <w:szCs w:val="22"/>
        </w:rPr>
        <w:t>k</w:t>
      </w:r>
      <w:r w:rsidR="005D6C54" w:rsidRPr="00816479">
        <w:rPr>
          <w:rFonts w:ascii="Arial" w:hAnsi="Arial" w:cs="Arial"/>
          <w:color w:val="000000"/>
          <w:sz w:val="22"/>
          <w:szCs w:val="22"/>
        </w:rPr>
        <w:t>a</w:t>
      </w:r>
    </w:p>
    <w:p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:rsidR="005D6C54" w:rsidRDefault="005D6C54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5D6C54" w:rsidRPr="00835AAC" w:rsidRDefault="005D6C54" w:rsidP="005D6C54">
      <w:pPr>
        <w:rPr>
          <w:rFonts w:ascii="Arial" w:hAnsi="Arial" w:cs="Arial"/>
          <w:sz w:val="22"/>
          <w:szCs w:val="22"/>
        </w:rPr>
      </w:pPr>
    </w:p>
    <w:p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:rsidR="00686D23" w:rsidRDefault="00686D23" w:rsidP="009521C9">
      <w:pPr>
        <w:jc w:val="center"/>
        <w:rPr>
          <w:rFonts w:ascii="Arial" w:hAnsi="Arial" w:cs="Arial"/>
          <w:sz w:val="22"/>
          <w:szCs w:val="22"/>
          <w:highlight w:val="magenta"/>
        </w:rPr>
      </w:pPr>
    </w:p>
    <w:sectPr w:rsidR="0068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70" w:rsidRDefault="007B4C70" w:rsidP="00E1529B">
      <w:r>
        <w:separator/>
      </w:r>
    </w:p>
  </w:endnote>
  <w:endnote w:type="continuationSeparator" w:id="0">
    <w:p w:rsidR="007B4C70" w:rsidRDefault="007B4C70" w:rsidP="00E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70" w:rsidRDefault="007B4C70" w:rsidP="00E1529B">
      <w:r>
        <w:separator/>
      </w:r>
    </w:p>
  </w:footnote>
  <w:footnote w:type="continuationSeparator" w:id="0">
    <w:p w:rsidR="007B4C70" w:rsidRDefault="007B4C70" w:rsidP="00E1529B">
      <w:r>
        <w:continuationSeparator/>
      </w:r>
    </w:p>
  </w:footnote>
  <w:footnote w:id="1">
    <w:p w:rsidR="00365809" w:rsidRPr="00BD6700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365809" w:rsidRPr="00C76E56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075669" w:rsidRPr="002765B6" w:rsidRDefault="00075669" w:rsidP="0007566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075669" w:rsidRPr="002765B6" w:rsidRDefault="00075669" w:rsidP="0007566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075669" w:rsidRPr="002765B6" w:rsidRDefault="00075669" w:rsidP="0007566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7B64DE" w:rsidRPr="00A04C8B" w:rsidRDefault="007B64DE" w:rsidP="007B64D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:rsidR="007B64DE" w:rsidRPr="00A04C8B" w:rsidRDefault="007B64DE" w:rsidP="007B64D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7B64DE" w:rsidRDefault="007B64DE" w:rsidP="007B64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85C41D98"/>
    <w:lvl w:ilvl="0" w:tplc="BEBE2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A3E32"/>
    <w:multiLevelType w:val="hybridMultilevel"/>
    <w:tmpl w:val="79CA97B4"/>
    <w:lvl w:ilvl="0" w:tplc="71320D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2C736711"/>
    <w:multiLevelType w:val="hybridMultilevel"/>
    <w:tmpl w:val="996E9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365293F"/>
    <w:multiLevelType w:val="multilevel"/>
    <w:tmpl w:val="0DA863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A950346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5553102B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B9564A9"/>
    <w:multiLevelType w:val="multilevel"/>
    <w:tmpl w:val="55CA92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  <w:num w:numId="1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52F3D"/>
    <w:rsid w:val="00075669"/>
    <w:rsid w:val="00082025"/>
    <w:rsid w:val="00090E94"/>
    <w:rsid w:val="000B3B60"/>
    <w:rsid w:val="000C04CD"/>
    <w:rsid w:val="000E6AAE"/>
    <w:rsid w:val="00105E38"/>
    <w:rsid w:val="0011776D"/>
    <w:rsid w:val="0015000A"/>
    <w:rsid w:val="001607F4"/>
    <w:rsid w:val="00164607"/>
    <w:rsid w:val="00173496"/>
    <w:rsid w:val="00180886"/>
    <w:rsid w:val="001A32D2"/>
    <w:rsid w:val="001C5E2D"/>
    <w:rsid w:val="001F44FA"/>
    <w:rsid w:val="0023710C"/>
    <w:rsid w:val="0024722A"/>
    <w:rsid w:val="002556E8"/>
    <w:rsid w:val="002C23B0"/>
    <w:rsid w:val="002D1566"/>
    <w:rsid w:val="002D578E"/>
    <w:rsid w:val="00314296"/>
    <w:rsid w:val="00344634"/>
    <w:rsid w:val="00350446"/>
    <w:rsid w:val="00355137"/>
    <w:rsid w:val="00365809"/>
    <w:rsid w:val="003726E6"/>
    <w:rsid w:val="00381BF7"/>
    <w:rsid w:val="00382F8C"/>
    <w:rsid w:val="00386A5E"/>
    <w:rsid w:val="003B59E3"/>
    <w:rsid w:val="003C3AA6"/>
    <w:rsid w:val="003C7B4D"/>
    <w:rsid w:val="003D384D"/>
    <w:rsid w:val="003E5CA3"/>
    <w:rsid w:val="003F198A"/>
    <w:rsid w:val="003F445B"/>
    <w:rsid w:val="0041013B"/>
    <w:rsid w:val="004303E9"/>
    <w:rsid w:val="00453AA4"/>
    <w:rsid w:val="00455A28"/>
    <w:rsid w:val="00457813"/>
    <w:rsid w:val="00492655"/>
    <w:rsid w:val="00494E40"/>
    <w:rsid w:val="004C210A"/>
    <w:rsid w:val="004D23DF"/>
    <w:rsid w:val="004E448D"/>
    <w:rsid w:val="005338B8"/>
    <w:rsid w:val="00535DC9"/>
    <w:rsid w:val="0054447F"/>
    <w:rsid w:val="00556F18"/>
    <w:rsid w:val="00565C25"/>
    <w:rsid w:val="00594AED"/>
    <w:rsid w:val="00595733"/>
    <w:rsid w:val="005A2B87"/>
    <w:rsid w:val="005A3EA3"/>
    <w:rsid w:val="005B2444"/>
    <w:rsid w:val="005B3D1E"/>
    <w:rsid w:val="005D455B"/>
    <w:rsid w:val="005D6C54"/>
    <w:rsid w:val="00601E4C"/>
    <w:rsid w:val="00604C12"/>
    <w:rsid w:val="00614344"/>
    <w:rsid w:val="006147B3"/>
    <w:rsid w:val="0062323E"/>
    <w:rsid w:val="00627582"/>
    <w:rsid w:val="00641107"/>
    <w:rsid w:val="0064449F"/>
    <w:rsid w:val="006643DA"/>
    <w:rsid w:val="00686D23"/>
    <w:rsid w:val="006C55A9"/>
    <w:rsid w:val="006F05A3"/>
    <w:rsid w:val="00713A28"/>
    <w:rsid w:val="0072705F"/>
    <w:rsid w:val="007462A5"/>
    <w:rsid w:val="00750814"/>
    <w:rsid w:val="00752FEE"/>
    <w:rsid w:val="007720C3"/>
    <w:rsid w:val="007929C4"/>
    <w:rsid w:val="007A69D6"/>
    <w:rsid w:val="007B4C70"/>
    <w:rsid w:val="007B64DE"/>
    <w:rsid w:val="007B6826"/>
    <w:rsid w:val="007E1DB2"/>
    <w:rsid w:val="007F6372"/>
    <w:rsid w:val="00816479"/>
    <w:rsid w:val="00816DB7"/>
    <w:rsid w:val="008332D3"/>
    <w:rsid w:val="00835AAC"/>
    <w:rsid w:val="00852210"/>
    <w:rsid w:val="00865071"/>
    <w:rsid w:val="00871028"/>
    <w:rsid w:val="008777BD"/>
    <w:rsid w:val="00880274"/>
    <w:rsid w:val="00881E17"/>
    <w:rsid w:val="00886F14"/>
    <w:rsid w:val="008A3CE2"/>
    <w:rsid w:val="008B32E6"/>
    <w:rsid w:val="008B44DB"/>
    <w:rsid w:val="008C03BC"/>
    <w:rsid w:val="00906109"/>
    <w:rsid w:val="0094152B"/>
    <w:rsid w:val="009521C9"/>
    <w:rsid w:val="00954CFC"/>
    <w:rsid w:val="009733D6"/>
    <w:rsid w:val="009A0029"/>
    <w:rsid w:val="009D0E40"/>
    <w:rsid w:val="009E2B2C"/>
    <w:rsid w:val="00A07413"/>
    <w:rsid w:val="00A14E41"/>
    <w:rsid w:val="00A208A1"/>
    <w:rsid w:val="00A5022A"/>
    <w:rsid w:val="00A55A77"/>
    <w:rsid w:val="00A921EE"/>
    <w:rsid w:val="00A943F1"/>
    <w:rsid w:val="00AC150B"/>
    <w:rsid w:val="00AF08E5"/>
    <w:rsid w:val="00B23D51"/>
    <w:rsid w:val="00B36110"/>
    <w:rsid w:val="00B41648"/>
    <w:rsid w:val="00B428EE"/>
    <w:rsid w:val="00B449A9"/>
    <w:rsid w:val="00BA03E6"/>
    <w:rsid w:val="00C03503"/>
    <w:rsid w:val="00C31A4A"/>
    <w:rsid w:val="00CA466E"/>
    <w:rsid w:val="00CA650A"/>
    <w:rsid w:val="00CD4E19"/>
    <w:rsid w:val="00CE7F2A"/>
    <w:rsid w:val="00CF6395"/>
    <w:rsid w:val="00D23A97"/>
    <w:rsid w:val="00D45F82"/>
    <w:rsid w:val="00D8208E"/>
    <w:rsid w:val="00D8321A"/>
    <w:rsid w:val="00D86ED5"/>
    <w:rsid w:val="00D91A38"/>
    <w:rsid w:val="00D967D9"/>
    <w:rsid w:val="00D97346"/>
    <w:rsid w:val="00DB5712"/>
    <w:rsid w:val="00DE1556"/>
    <w:rsid w:val="00DF33BE"/>
    <w:rsid w:val="00E13C5D"/>
    <w:rsid w:val="00E1529B"/>
    <w:rsid w:val="00E22993"/>
    <w:rsid w:val="00E30C54"/>
    <w:rsid w:val="00E54EBA"/>
    <w:rsid w:val="00E72744"/>
    <w:rsid w:val="00E7387E"/>
    <w:rsid w:val="00E96726"/>
    <w:rsid w:val="00EA41B4"/>
    <w:rsid w:val="00EB1DCA"/>
    <w:rsid w:val="00EC6729"/>
    <w:rsid w:val="00EC6D4E"/>
    <w:rsid w:val="00ED05F6"/>
    <w:rsid w:val="00EE76E2"/>
    <w:rsid w:val="00F010BA"/>
    <w:rsid w:val="00F1163E"/>
    <w:rsid w:val="00FA0297"/>
    <w:rsid w:val="00FA1117"/>
    <w:rsid w:val="00FB006E"/>
    <w:rsid w:val="00FB7277"/>
    <w:rsid w:val="00FC55B2"/>
    <w:rsid w:val="00FF1DB7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customStyle="1" w:styleId="slalnk">
    <w:name w:val="Čísla článků"/>
    <w:basedOn w:val="Normln"/>
    <w:rsid w:val="003C3A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3AA6"/>
    <w:pPr>
      <w:spacing w:before="60" w:after="160"/>
    </w:pPr>
  </w:style>
  <w:style w:type="character" w:customStyle="1" w:styleId="TextpoznpodarouChar">
    <w:name w:val="Text pozn. pod čarou Char"/>
    <w:link w:val="Textpoznpodarou"/>
    <w:semiHidden/>
    <w:rsid w:val="00E1529B"/>
    <w:rPr>
      <w:noProof/>
    </w:rPr>
  </w:style>
  <w:style w:type="paragraph" w:styleId="Odstavecseseznamem">
    <w:name w:val="List Paragraph"/>
    <w:basedOn w:val="Normln"/>
    <w:uiPriority w:val="99"/>
    <w:qFormat/>
    <w:rsid w:val="004C210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9521C9"/>
    <w:pPr>
      <w:spacing w:before="240" w:after="60"/>
      <w:outlineLvl w:val="0"/>
    </w:pPr>
    <w:rPr>
      <w:rFonts w:ascii="Cambria" w:hAnsi="Cambria" w:cs="Cambria"/>
      <w:kern w:val="28"/>
      <w:sz w:val="32"/>
      <w:szCs w:val="32"/>
      <w:u w:val="none"/>
    </w:rPr>
  </w:style>
  <w:style w:type="paragraph" w:customStyle="1" w:styleId="Default">
    <w:name w:val="Default"/>
    <w:rsid w:val="00952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customStyle="1" w:styleId="slalnk">
    <w:name w:val="Čísla článků"/>
    <w:basedOn w:val="Normln"/>
    <w:rsid w:val="003C3A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3AA6"/>
    <w:pPr>
      <w:spacing w:before="60" w:after="160"/>
    </w:pPr>
  </w:style>
  <w:style w:type="character" w:customStyle="1" w:styleId="TextpoznpodarouChar">
    <w:name w:val="Text pozn. pod čarou Char"/>
    <w:link w:val="Textpoznpodarou"/>
    <w:semiHidden/>
    <w:rsid w:val="00E1529B"/>
    <w:rPr>
      <w:noProof/>
    </w:rPr>
  </w:style>
  <w:style w:type="paragraph" w:styleId="Odstavecseseznamem">
    <w:name w:val="List Paragraph"/>
    <w:basedOn w:val="Normln"/>
    <w:uiPriority w:val="99"/>
    <w:qFormat/>
    <w:rsid w:val="004C210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9521C9"/>
    <w:pPr>
      <w:spacing w:before="240" w:after="60"/>
      <w:outlineLvl w:val="0"/>
    </w:pPr>
    <w:rPr>
      <w:rFonts w:ascii="Cambria" w:hAnsi="Cambria" w:cs="Cambria"/>
      <w:kern w:val="28"/>
      <w:sz w:val="32"/>
      <w:szCs w:val="32"/>
      <w:u w:val="none"/>
    </w:rPr>
  </w:style>
  <w:style w:type="paragraph" w:customStyle="1" w:styleId="Default">
    <w:name w:val="Default"/>
    <w:rsid w:val="00952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%C5%A0estajovice_(okres_N%C3%A1chod)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EC27-F4CC-4B26-BD7D-B6524F47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6679</CharactersWithSpaces>
  <SharedDoc>false</SharedDoc>
  <HLinks>
    <vt:vector size="6" baseType="variant">
      <vt:variant>
        <vt:i4>7667738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https://commons.wikimedia.org/wiki/File:%C5%A0estajovice_(okres_N%C3%A1chod)_znak.jpg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5</cp:revision>
  <cp:lastPrinted>2021-12-16T08:46:00Z</cp:lastPrinted>
  <dcterms:created xsi:type="dcterms:W3CDTF">2022-12-14T12:11:00Z</dcterms:created>
  <dcterms:modified xsi:type="dcterms:W3CDTF">2022-12-16T05:57:00Z</dcterms:modified>
</cp:coreProperties>
</file>