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956" w:rsidRDefault="0078436B">
      <w:pPr>
        <w:rPr>
          <w:rFonts w:ascii="Century Schoolbook" w:hAnsi="Century Schoolbook"/>
          <w:b/>
          <w:color w:val="000080"/>
        </w:rPr>
      </w:pPr>
      <w:r>
        <w:rPr>
          <w:rFonts w:ascii="Century Schoolbook" w:hAnsi="Century Schoolbook"/>
          <w:b/>
          <w:color w:val="000080"/>
        </w:rPr>
        <w:t> </w:t>
      </w:r>
    </w:p>
    <w:p w:rsidR="00540956" w:rsidRDefault="0078436B">
      <w:r>
        <w:t> </w:t>
      </w:r>
    </w:p>
    <w:p w:rsidR="00540956" w:rsidRDefault="0078436B">
      <w:pPr>
        <w:jc w:val="center"/>
        <w:rPr>
          <w:b/>
          <w:spacing w:val="20"/>
          <w:szCs w:val="20"/>
        </w:rPr>
      </w:pPr>
      <w:bookmarkStart w:id="0" w:name="_GoBack"/>
      <w:r>
        <w:rPr>
          <w:b/>
          <w:spacing w:val="20"/>
          <w:szCs w:val="20"/>
        </w:rPr>
        <w:t>Vyhláška statutárního města Plzně č. 3/2006 k zabezpečení místních záležitostí veřejného pořádku, kterou se vymezují veřejná prostranství, na nichž se zakazuje prostituce</w:t>
      </w:r>
    </w:p>
    <w:bookmarkEnd w:id="0"/>
    <w:p w:rsidR="00540956" w:rsidRDefault="0078436B">
      <w:pPr>
        <w:rPr>
          <w:szCs w:val="20"/>
        </w:rPr>
      </w:pPr>
      <w:r>
        <w:rPr>
          <w:szCs w:val="20"/>
        </w:rPr>
        <w:t> </w:t>
      </w:r>
    </w:p>
    <w:p w:rsidR="00540956" w:rsidRDefault="0078436B">
      <w:pPr>
        <w:spacing w:after="120"/>
        <w:jc w:val="both"/>
        <w:rPr>
          <w:szCs w:val="20"/>
        </w:rPr>
      </w:pPr>
      <w:r>
        <w:rPr>
          <w:szCs w:val="20"/>
        </w:rPr>
        <w:tab/>
        <w:t xml:space="preserve">Zastupitelstvo města Plzně se svým usnesením č. 178 ze dne 6. dubna 2006 usneslo vydat podle čl. 104 odst. 3 Ústavy České republiky č. 1/1993 Sb. a v souladu s § 10 písm. </w:t>
      </w:r>
      <w:proofErr w:type="gramStart"/>
      <w:r>
        <w:rPr>
          <w:szCs w:val="20"/>
        </w:rPr>
        <w:t>a)  zákona</w:t>
      </w:r>
      <w:proofErr w:type="gramEnd"/>
      <w:r>
        <w:rPr>
          <w:szCs w:val="20"/>
        </w:rPr>
        <w:t xml:space="preserve"> č. 128/2000 Sb., o obcích, v platném znění, tuto</w:t>
      </w:r>
    </w:p>
    <w:p w:rsidR="00540956" w:rsidRDefault="0078436B">
      <w:pPr>
        <w:spacing w:after="120"/>
        <w:jc w:val="center"/>
        <w:rPr>
          <w:b/>
          <w:spacing w:val="20"/>
          <w:szCs w:val="20"/>
        </w:rPr>
      </w:pPr>
      <w:r>
        <w:rPr>
          <w:b/>
          <w:spacing w:val="20"/>
          <w:szCs w:val="20"/>
        </w:rPr>
        <w:t>obecně závaznou vyhlášku:</w:t>
      </w:r>
    </w:p>
    <w:p w:rsidR="00540956" w:rsidRDefault="0078436B">
      <w:pPr>
        <w:spacing w:after="120"/>
        <w:jc w:val="both"/>
        <w:rPr>
          <w:szCs w:val="20"/>
        </w:rPr>
      </w:pPr>
      <w:r>
        <w:rPr>
          <w:szCs w:val="20"/>
        </w:rPr>
        <w:t> </w:t>
      </w:r>
    </w:p>
    <w:p w:rsidR="00540956" w:rsidRDefault="0078436B">
      <w:pPr>
        <w:spacing w:after="120"/>
        <w:jc w:val="both"/>
        <w:rPr>
          <w:szCs w:val="20"/>
        </w:rPr>
      </w:pPr>
      <w:r>
        <w:rPr>
          <w:szCs w:val="20"/>
        </w:rPr>
        <w:t> </w:t>
      </w:r>
    </w:p>
    <w:p w:rsidR="00540956" w:rsidRDefault="0078436B">
      <w:pPr>
        <w:jc w:val="center"/>
        <w:rPr>
          <w:b/>
          <w:szCs w:val="20"/>
        </w:rPr>
      </w:pPr>
      <w:r>
        <w:rPr>
          <w:b/>
          <w:szCs w:val="20"/>
        </w:rPr>
        <w:t>Čl. 1</w:t>
      </w:r>
    </w:p>
    <w:p w:rsidR="00540956" w:rsidRDefault="0078436B">
      <w:pPr>
        <w:spacing w:after="120"/>
        <w:ind w:firstLine="708"/>
        <w:jc w:val="both"/>
        <w:rPr>
          <w:snapToGrid w:val="0"/>
          <w:szCs w:val="20"/>
        </w:rPr>
      </w:pPr>
      <w:r>
        <w:rPr>
          <w:snapToGrid w:val="0"/>
          <w:szCs w:val="20"/>
        </w:rPr>
        <w:t> </w:t>
      </w:r>
    </w:p>
    <w:p w:rsidR="00540956" w:rsidRDefault="0078436B">
      <w:pPr>
        <w:spacing w:after="120"/>
        <w:ind w:firstLine="708"/>
        <w:jc w:val="both"/>
        <w:rPr>
          <w:snapToGrid w:val="0"/>
          <w:szCs w:val="20"/>
        </w:rPr>
      </w:pPr>
      <w:r>
        <w:rPr>
          <w:snapToGrid w:val="0"/>
          <w:szCs w:val="20"/>
        </w:rPr>
        <w:t>Nabízení, sjednávání, provozování a využívání prostituce se zakazuje na těch veřejných prostranstvích</w:t>
      </w:r>
      <w:r>
        <w:rPr>
          <w:rStyle w:val="Znakapoznpodarou"/>
          <w:snapToGrid w:val="0"/>
          <w:szCs w:val="20"/>
        </w:rPr>
        <w:footnoteReference w:id="1"/>
      </w:r>
      <w:r>
        <w:rPr>
          <w:rStyle w:val="Znakapoznpodarou"/>
          <w:snapToGrid w:val="0"/>
          <w:szCs w:val="20"/>
        </w:rPr>
        <w:t>[1]</w:t>
      </w:r>
      <w:r>
        <w:rPr>
          <w:snapToGrid w:val="0"/>
          <w:szCs w:val="20"/>
        </w:rPr>
        <w:t>, která se nacházejí v současně zastavěném území</w:t>
      </w:r>
      <w:r>
        <w:rPr>
          <w:rStyle w:val="Znakapoznpodarou"/>
          <w:snapToGrid w:val="0"/>
          <w:szCs w:val="20"/>
        </w:rPr>
        <w:footnoteReference w:id="2"/>
      </w:r>
      <w:r>
        <w:rPr>
          <w:rStyle w:val="Znakapoznpodarou"/>
          <w:snapToGrid w:val="0"/>
          <w:szCs w:val="20"/>
        </w:rPr>
        <w:t>[2]</w:t>
      </w:r>
      <w:r>
        <w:rPr>
          <w:snapToGrid w:val="0"/>
          <w:szCs w:val="20"/>
        </w:rPr>
        <w:t xml:space="preserve"> města Plzně.</w:t>
      </w:r>
    </w:p>
    <w:p w:rsidR="00540956" w:rsidRDefault="0078436B">
      <w:pPr>
        <w:spacing w:after="120"/>
        <w:jc w:val="both"/>
        <w:rPr>
          <w:szCs w:val="20"/>
        </w:rPr>
      </w:pPr>
      <w:r>
        <w:rPr>
          <w:szCs w:val="20"/>
        </w:rPr>
        <w:t> </w:t>
      </w:r>
    </w:p>
    <w:p w:rsidR="00540956" w:rsidRDefault="0078436B">
      <w:pPr>
        <w:jc w:val="center"/>
        <w:rPr>
          <w:b/>
          <w:szCs w:val="20"/>
        </w:rPr>
      </w:pPr>
      <w:r>
        <w:rPr>
          <w:b/>
          <w:szCs w:val="20"/>
        </w:rPr>
        <w:t>Čl. 2</w:t>
      </w:r>
    </w:p>
    <w:p w:rsidR="00540956" w:rsidRDefault="0078436B">
      <w:pPr>
        <w:spacing w:after="120"/>
        <w:jc w:val="center"/>
        <w:rPr>
          <w:b/>
          <w:szCs w:val="20"/>
        </w:rPr>
      </w:pPr>
      <w:r>
        <w:rPr>
          <w:b/>
          <w:szCs w:val="20"/>
        </w:rPr>
        <w:t> </w:t>
      </w:r>
    </w:p>
    <w:p w:rsidR="00540956" w:rsidRDefault="0078436B">
      <w:pPr>
        <w:tabs>
          <w:tab w:val="num" w:pos="360"/>
        </w:tabs>
        <w:spacing w:after="120"/>
        <w:ind w:left="360" w:hanging="360"/>
        <w:jc w:val="both"/>
        <w:rPr>
          <w:szCs w:val="20"/>
        </w:rPr>
      </w:pPr>
      <w:r>
        <w:rPr>
          <w:szCs w:val="20"/>
        </w:rPr>
        <w:t>(1)</w:t>
      </w:r>
      <w:r>
        <w:rPr>
          <w:sz w:val="14"/>
          <w:szCs w:val="14"/>
        </w:rPr>
        <w:t xml:space="preserve">   </w:t>
      </w:r>
      <w:r>
        <w:rPr>
          <w:szCs w:val="20"/>
        </w:rPr>
        <w:t>Porušení zákazů touto vyhláškou stanovených se postihuje podle zvláštních předpisů</w:t>
      </w:r>
      <w:r>
        <w:rPr>
          <w:rStyle w:val="Znakapoznpodarou"/>
          <w:szCs w:val="20"/>
        </w:rPr>
        <w:footnoteReference w:id="3"/>
      </w:r>
      <w:r>
        <w:rPr>
          <w:rStyle w:val="Znakapoznpodarou"/>
          <w:szCs w:val="20"/>
        </w:rPr>
        <w:t>[3]</w:t>
      </w:r>
      <w:r>
        <w:rPr>
          <w:szCs w:val="20"/>
        </w:rPr>
        <w:t xml:space="preserve">. </w:t>
      </w:r>
    </w:p>
    <w:p w:rsidR="00540956" w:rsidRDefault="0078436B">
      <w:pPr>
        <w:tabs>
          <w:tab w:val="num" w:pos="360"/>
        </w:tabs>
        <w:spacing w:after="120"/>
        <w:ind w:left="360" w:hanging="360"/>
        <w:jc w:val="both"/>
        <w:rPr>
          <w:szCs w:val="20"/>
        </w:rPr>
      </w:pPr>
      <w:r>
        <w:rPr>
          <w:szCs w:val="20"/>
        </w:rPr>
        <w:t>(2)</w:t>
      </w:r>
      <w:r>
        <w:rPr>
          <w:sz w:val="14"/>
          <w:szCs w:val="14"/>
        </w:rPr>
        <w:t xml:space="preserve">   </w:t>
      </w:r>
      <w:r>
        <w:rPr>
          <w:szCs w:val="20"/>
        </w:rPr>
        <w:t xml:space="preserve">Touto vyhláškou se ruší vyhláška statutárního města Plzně č. 1/2006 k zabezpečení místních záležitostí veřejného pořádku, kterou se vymezují veřejná prostranství, na nichž se zakazuje prostituce. </w:t>
      </w:r>
    </w:p>
    <w:p w:rsidR="00540956" w:rsidRDefault="0078436B">
      <w:pPr>
        <w:tabs>
          <w:tab w:val="num" w:pos="360"/>
        </w:tabs>
        <w:spacing w:after="120"/>
        <w:ind w:left="360" w:hanging="360"/>
        <w:jc w:val="both"/>
        <w:rPr>
          <w:szCs w:val="20"/>
        </w:rPr>
      </w:pPr>
      <w:r>
        <w:rPr>
          <w:szCs w:val="20"/>
        </w:rPr>
        <w:t>(3)</w:t>
      </w:r>
      <w:r>
        <w:rPr>
          <w:sz w:val="14"/>
          <w:szCs w:val="14"/>
        </w:rPr>
        <w:t xml:space="preserve">   </w:t>
      </w:r>
      <w:r>
        <w:rPr>
          <w:szCs w:val="20"/>
        </w:rPr>
        <w:t>Tato vyhláška nabývá účinnosti dnem vyvěšení rozhodnutí Ministerstva vnitra o pozastavení účinnosti vyhlášky statutárního města Plzně č. 1/2006 k zabezpečení místních záležitostí veřejného pořádku, kterou se vymezují veřejná prostranství, na nichž se zakazuje prostituce, na úřední desce Magistrátu města Plzně.</w:t>
      </w:r>
    </w:p>
    <w:p w:rsidR="00540956" w:rsidRDefault="0078436B">
      <w:pPr>
        <w:spacing w:after="120"/>
        <w:jc w:val="both"/>
        <w:rPr>
          <w:b/>
          <w:szCs w:val="20"/>
        </w:rPr>
      </w:pPr>
      <w:r>
        <w:rPr>
          <w:b/>
          <w:szCs w:val="20"/>
        </w:rPr>
        <w:t> </w:t>
      </w:r>
    </w:p>
    <w:p w:rsidR="00540956" w:rsidRDefault="0078436B">
      <w:pPr>
        <w:spacing w:after="120"/>
        <w:jc w:val="both"/>
        <w:rPr>
          <w:szCs w:val="20"/>
        </w:rPr>
      </w:pPr>
      <w:r>
        <w:rPr>
          <w:szCs w:val="20"/>
        </w:rPr>
        <w:t> </w:t>
      </w:r>
    </w:p>
    <w:p w:rsidR="00540956" w:rsidRDefault="0078436B">
      <w:pPr>
        <w:spacing w:after="120"/>
        <w:jc w:val="both"/>
        <w:rPr>
          <w:szCs w:val="20"/>
        </w:rPr>
      </w:pPr>
      <w:r>
        <w:rPr>
          <w:szCs w:val="20"/>
        </w:rPr>
        <w:t> </w:t>
      </w:r>
    </w:p>
    <w:p w:rsidR="00540956" w:rsidRDefault="0078436B">
      <w:pPr>
        <w:jc w:val="center"/>
        <w:rPr>
          <w:szCs w:val="20"/>
        </w:rPr>
      </w:pPr>
      <w:r>
        <w:rPr>
          <w:szCs w:val="20"/>
        </w:rPr>
        <w:t>Ing. Miroslav Kalous</w:t>
      </w:r>
    </w:p>
    <w:p w:rsidR="00540956" w:rsidRDefault="0078436B">
      <w:pPr>
        <w:spacing w:after="120"/>
        <w:jc w:val="center"/>
        <w:rPr>
          <w:i/>
          <w:szCs w:val="20"/>
        </w:rPr>
      </w:pPr>
      <w:r>
        <w:rPr>
          <w:i/>
          <w:szCs w:val="20"/>
        </w:rPr>
        <w:t>primátor</w:t>
      </w:r>
    </w:p>
    <w:p w:rsidR="00540956" w:rsidRDefault="0078436B">
      <w:pPr>
        <w:spacing w:after="120"/>
        <w:jc w:val="center"/>
        <w:rPr>
          <w:szCs w:val="20"/>
        </w:rPr>
      </w:pPr>
      <w:r>
        <w:rPr>
          <w:szCs w:val="20"/>
        </w:rPr>
        <w:t> </w:t>
      </w:r>
    </w:p>
    <w:p w:rsidR="00540956" w:rsidRDefault="0078436B">
      <w:pPr>
        <w:jc w:val="center"/>
        <w:rPr>
          <w:szCs w:val="20"/>
        </w:rPr>
      </w:pPr>
      <w:r>
        <w:rPr>
          <w:szCs w:val="20"/>
        </w:rPr>
        <w:t>JUDr. Marcela Krejsová</w:t>
      </w:r>
    </w:p>
    <w:p w:rsidR="00540956" w:rsidRDefault="0078436B">
      <w:pPr>
        <w:spacing w:after="120"/>
        <w:jc w:val="center"/>
        <w:rPr>
          <w:i/>
          <w:szCs w:val="20"/>
        </w:rPr>
      </w:pPr>
      <w:r>
        <w:rPr>
          <w:i/>
          <w:szCs w:val="20"/>
        </w:rPr>
        <w:t>náměstek primátora</w:t>
      </w:r>
    </w:p>
    <w:sectPr w:rsidR="00540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956" w:rsidRDefault="0078436B">
      <w:r>
        <w:separator/>
      </w:r>
    </w:p>
  </w:endnote>
  <w:endnote w:type="continuationSeparator" w:id="0">
    <w:p w:rsidR="00540956" w:rsidRDefault="0078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956" w:rsidRDefault="0078436B">
      <w:r>
        <w:separator/>
      </w:r>
    </w:p>
  </w:footnote>
  <w:footnote w:type="continuationSeparator" w:id="0">
    <w:p w:rsidR="00540956" w:rsidRDefault="0078436B">
      <w:r>
        <w:continuationSeparator/>
      </w:r>
    </w:p>
  </w:footnote>
  <w:footnote w:id="1">
    <w:p w:rsidR="00540956" w:rsidRDefault="0078436B">
      <w:pPr>
        <w:pStyle w:val="Textpoznpodarou"/>
        <w:spacing w:before="0" w:beforeAutospacing="0" w:after="0" w:afterAutospacing="0"/>
        <w:jc w:val="both"/>
      </w:pPr>
      <w:r>
        <w:rPr>
          <w:rStyle w:val="Znakapoznpodarou"/>
        </w:rPr>
        <w:footnoteRef/>
      </w:r>
      <w:r>
        <w:rPr>
          <w:rStyle w:val="Znakapoznpodarou"/>
        </w:rPr>
        <w:t>[1]</w:t>
      </w:r>
      <w:r>
        <w:t xml:space="preserve"> § 34 zákona č. 128/2000 Sb., o obcích, ve znění pozdějších právních předpisů.</w:t>
      </w:r>
    </w:p>
  </w:footnote>
  <w:footnote w:id="2">
    <w:p w:rsidR="00540956" w:rsidRDefault="0078436B">
      <w:pPr>
        <w:pStyle w:val="Textpoznpodarou"/>
        <w:spacing w:before="0" w:beforeAutospacing="0" w:after="0" w:afterAutospacing="0"/>
        <w:jc w:val="both"/>
        <w:rPr>
          <w:snapToGrid w:val="0"/>
        </w:rPr>
      </w:pPr>
      <w:r>
        <w:rPr>
          <w:rStyle w:val="Znakapoznpodarou"/>
        </w:rPr>
        <w:footnoteRef/>
      </w:r>
      <w:r>
        <w:rPr>
          <w:rStyle w:val="Znakapoznpodarou"/>
        </w:rPr>
        <w:t>[2]</w:t>
      </w:r>
      <w:r>
        <w:t xml:space="preserve"> § </w:t>
      </w:r>
      <w:proofErr w:type="gramStart"/>
      <w:r>
        <w:t>139a</w:t>
      </w:r>
      <w:proofErr w:type="gramEnd"/>
      <w:r>
        <w:t xml:space="preserve"> odst. 2 zákona č. 50/1976 Sb., o územním plánování a stavebním řádu (stavební zákon)</w:t>
      </w:r>
      <w:r>
        <w:rPr>
          <w:snapToGrid w:val="0"/>
        </w:rPr>
        <w:t>, ve znění pozdějších právních předpisů. Hranice současně zastavěného území města Plzně jsou v souladu s § 10 odst. 1 stavebního zákona vyznačeny ve vyhlášce statutárního města Plzně č. 9/1995, o závazných částech územního plánu města Plzně, v platném znění.</w:t>
      </w:r>
    </w:p>
  </w:footnote>
  <w:footnote w:id="3">
    <w:p w:rsidR="00540956" w:rsidRDefault="0078436B">
      <w:pPr>
        <w:pStyle w:val="Textpoznpodarou"/>
        <w:spacing w:before="0" w:beforeAutospacing="0" w:after="0" w:afterAutospacing="0"/>
        <w:jc w:val="both"/>
      </w:pPr>
      <w:r>
        <w:rPr>
          <w:rStyle w:val="Znakapoznpodarou"/>
        </w:rPr>
        <w:footnoteRef/>
      </w:r>
      <w:r>
        <w:rPr>
          <w:rStyle w:val="Znakapoznpodarou"/>
        </w:rPr>
        <w:t>[3]</w:t>
      </w:r>
      <w:r>
        <w:t xml:space="preserve"> Zákon č. 200/1990 Sb., o přestupcích, ve znění pozdějších právních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6B"/>
    <w:rsid w:val="000076A1"/>
    <w:rsid w:val="00540956"/>
    <w:rsid w:val="0078436B"/>
    <w:rsid w:val="00BC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AA6B60-7710-4550-B123-D30A267C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eastAsiaTheme="minorEastAsia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2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2023-01-10T12:26:00Z</dcterms:created>
  <dcterms:modified xsi:type="dcterms:W3CDTF">2023-01-10T12:26:00Z</dcterms:modified>
</cp:coreProperties>
</file>