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2397125</wp:posOffset>
            </wp:positionH>
            <wp:positionV relativeFrom="paragraph">
              <wp:posOffset>-310515</wp:posOffset>
            </wp:positionV>
            <wp:extent cx="1043940" cy="1450975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9" r="-1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>O B E C   K L E N E Č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KLENEČ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požární řád</w:t>
      </w:r>
    </w:p>
    <w:p>
      <w:pPr>
        <w:pStyle w:val="ZkladntextIMP"/>
        <w:spacing w:lineRule="auto" w:line="240"/>
        <w:ind w:left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  <w:t>Zastupitelstvo obce Kleneč se na svém zasedání dne</w:t>
      </w:r>
      <w:r>
        <w:rPr>
          <w:rFonts w:cs="Times New Roman" w:ascii="Times New Roman" w:hAnsi="Times New Roman"/>
          <w:b/>
          <w:bCs/>
          <w:i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szCs w:val="24"/>
        </w:rPr>
        <w:t>03.06.</w:t>
      </w:r>
      <w:r>
        <w:rPr>
          <w:rFonts w:cs="Times New Roman" w:ascii="Times New Roman" w:hAnsi="Times New Roman"/>
          <w:b/>
          <w:bCs/>
          <w:i/>
          <w:szCs w:val="24"/>
        </w:rPr>
        <w:t xml:space="preserve"> 2024 </w:t>
      </w:r>
      <w:r>
        <w:rPr>
          <w:rFonts w:cs="Times New Roman" w:ascii="Times New Roman" w:hAnsi="Times New Roman"/>
          <w:i/>
          <w:szCs w:val="24"/>
        </w:rPr>
        <w:t>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1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Úvodní ustanovení</w:t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szCs w:val="24"/>
          <w:shd w:fill="FFFF00" w:val="clear"/>
        </w:rPr>
      </w:pPr>
      <w:r>
        <w:rPr>
          <w:rFonts w:cs="Times New Roman" w:ascii="Times New Roman" w:hAnsi="Times New Roman"/>
          <w:szCs w:val="24"/>
        </w:rPr>
        <w:t>Tato vyhláška upravuje organizaci a zásady zabezpečení požární ochrany v obci Kleneč (dále jen „obec“).</w:t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sz w:val="20"/>
          <w:shd w:fill="FFFF00" w:val="clear"/>
        </w:rPr>
      </w:pPr>
      <w:r>
        <w:rPr>
          <w:rFonts w:cs="Times New Roman" w:ascii="Times New Roman" w:hAnsi="Times New Roman"/>
          <w:sz w:val="20"/>
          <w:shd w:fill="FFFF00" w:val="clear"/>
        </w:rPr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2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Vymezení činnosti osob pověřených zabezpečováním požární ochrany v obci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</w:r>
    </w:p>
    <w:p>
      <w:pPr>
        <w:pStyle w:val="ZkladntextIMP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Ochrana životů, zdraví a majetku občanů před požáry, živelními pohromami a jinými mimořádnými událostmi na území obce je zajištěna jednotkou Sboru dobrovolných hasičů obce Kleneč (dále jen „JSDHO Kleneč“) podle čl. 5 této vyhlášky, a dále jednotkami požární ochrany uvedenými v příloze č. 1 této vyhlášky.</w:t>
      </w:r>
    </w:p>
    <w:p>
      <w:pPr>
        <w:pStyle w:val="ZkladntextIMP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K zabezpečení úkolů podle odst. 1 se úkoluje:</w:t>
      </w:r>
    </w:p>
    <w:p>
      <w:pPr>
        <w:pStyle w:val="ZkladntextIMP"/>
        <w:numPr>
          <w:ilvl w:val="0"/>
          <w:numId w:val="2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zastupitelstvo obce – projednáním úrovně a stavu požární ochrany v obci minimálně jedenkrát za rok a vždy po závažných mimořádných událostech majících vztah k požární ochraně,</w:t>
      </w:r>
    </w:p>
    <w:p>
      <w:pPr>
        <w:pStyle w:val="ZkladntextIMP"/>
        <w:numPr>
          <w:ilvl w:val="0"/>
          <w:numId w:val="2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starosta obce – </w:t>
      </w:r>
      <w:r>
        <w:rPr>
          <w:rFonts w:eastAsia="Arial" w:cs="Times New Roman" w:ascii="Times New Roman" w:hAnsi="Times New Roman"/>
          <w:szCs w:val="24"/>
        </w:rPr>
        <w:t xml:space="preserve">předkládáním zprávy o stavu požární ochrany </w:t>
      </w:r>
      <w:r>
        <w:rPr>
          <w:rFonts w:cs="Times New Roman" w:ascii="Times New Roman" w:hAnsi="Times New Roman"/>
          <w:szCs w:val="24"/>
        </w:rPr>
        <w:t xml:space="preserve">v obci </w:t>
      </w:r>
      <w:r>
        <w:rPr>
          <w:rFonts w:eastAsia="Arial" w:cs="Times New Roman" w:ascii="Times New Roman" w:hAnsi="Times New Roman"/>
          <w:szCs w:val="24"/>
        </w:rPr>
        <w:t>nejméně jedenkrát za rok zastupitelstvu obce k projednání, a dále vždy po závažných mimořádných událostech majících vztah k požární ochraně.</w:t>
      </w:r>
    </w:p>
    <w:p>
      <w:pPr>
        <w:pStyle w:val="ZkladntextIMP"/>
        <w:spacing w:lineRule="auto" w:line="240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/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3</w:t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Podmínky požární bezpečnosti při činnostech a v objektech se zvýšeným nebezpečím vzniku požáru se zřetelem na místní situaci</w:t>
      </w:r>
    </w:p>
    <w:p>
      <w:pPr>
        <w:pStyle w:val="Normal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numPr>
          <w:ilvl w:val="0"/>
          <w:numId w:val="15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>
        <w:rPr>
          <w:rStyle w:val="FootnoteReference"/>
          <w:rFonts w:cs="Times New Roman"/>
          <w:color w:val="000000"/>
          <w:sz w:val="24"/>
          <w:szCs w:val="24"/>
        </w:rPr>
        <w:footnoteReference w:id="2"/>
      </w:r>
      <w:r>
        <w:rPr>
          <w:rFonts w:cs="Times New Roman"/>
          <w:color w:val="000000"/>
          <w:sz w:val="24"/>
          <w:szCs w:val="24"/>
          <w:vertAlign w:val="superscript"/>
        </w:rPr>
        <w:t>)</w:t>
      </w:r>
    </w:p>
    <w:p>
      <w:pPr>
        <w:pStyle w:val="Normal"/>
        <w:numPr>
          <w:ilvl w:val="0"/>
          <w:numId w:val="16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>
        <w:rPr>
          <w:rFonts w:cs="Times New Roman"/>
          <w:color w:val="000000"/>
          <w:sz w:val="24"/>
          <w:szCs w:val="24"/>
        </w:rPr>
        <w:t>stanoví kraj svým nařízením.</w:t>
      </w:r>
      <w:r>
        <w:rPr>
          <w:rStyle w:val="FootnoteReference"/>
          <w:rFonts w:cs="Times New Roman"/>
          <w:color w:val="000000"/>
          <w:sz w:val="24"/>
          <w:szCs w:val="24"/>
        </w:rPr>
        <w:footnoteReference w:id="3"/>
      </w:r>
      <w:r>
        <w:rPr>
          <w:rFonts w:cs="Times New Roman"/>
          <w:color w:val="000000"/>
          <w:sz w:val="24"/>
          <w:szCs w:val="24"/>
          <w:vertAlign w:val="superscript"/>
        </w:rPr>
        <w:t>)</w:t>
      </w:r>
    </w:p>
    <w:p>
      <w:pPr>
        <w:pStyle w:val="Normal"/>
        <w:numPr>
          <w:ilvl w:val="0"/>
          <w:numId w:val="17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Obec nestanoví se zřetelem na místní situaci žádné další podmínky požární bezpečnosti při činnostech a v objektech se zvýšeným nebezpečím vzniku požáru, ani při akcích, kterých se zúčastňuje větší počet osob.</w:t>
      </w:r>
      <w:r>
        <w:br w:type="page"/>
      </w:r>
    </w:p>
    <w:p>
      <w:pPr>
        <w:pStyle w:val="Normal"/>
        <w:spacing w:before="0" w:after="0"/>
        <w:jc w:val="center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4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Způsob nepřetržitého zabezpečení požární ochrany v obci</w:t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numPr>
          <w:ilvl w:val="0"/>
          <w:numId w:val="18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Ochrana životů, zdraví a majetku občanů před požáry, živelními pohromami a jinými mimořádnými událostmi na území obce je zabezpečena jednotkami požární ochrany, uvedenými v čl. 5 a příloze č. 1 této vyhlášky.</w:t>
      </w:r>
    </w:p>
    <w:p>
      <w:pPr>
        <w:pStyle w:val="ZkladntextIMP"/>
        <w:numPr>
          <w:ilvl w:val="0"/>
          <w:numId w:val="19"/>
        </w:numPr>
        <w:spacing w:lineRule="auto" w:line="240"/>
        <w:jc w:val="both"/>
        <w:rPr>
          <w:rFonts w:ascii="Times New Roman" w:hAnsi="Times New Roman" w:cs="Times New Roman"/>
          <w:szCs w:val="24"/>
          <w:shd w:fill="FFFF00" w:val="clear"/>
        </w:rPr>
      </w:pPr>
      <w:r>
        <w:rPr>
          <w:rFonts w:cs="Times New Roman" w:ascii="Times New Roman" w:hAnsi="Times New Roman"/>
          <w:szCs w:val="24"/>
        </w:rPr>
        <w:t xml:space="preserve">Přijetí ohlášení požáru, živelní pohromy či jiné mimořádné události je zabezpečeno ohlašovnou požárů uvedenou v čl. 7 této vyhlášky.  </w:t>
      </w:r>
    </w:p>
    <w:p>
      <w:pPr>
        <w:pStyle w:val="ZkladntextIMP"/>
        <w:spacing w:lineRule="auto" w:line="240"/>
        <w:ind w:firstLine="30" w:left="7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firstLine="30" w:left="7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5</w:t>
      </w:r>
    </w:p>
    <w:p>
      <w:pPr>
        <w:pStyle w:val="ZkladntextIMP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JSDHO Kleneč, kategorie, početní stav a vybavení</w:t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Dislokace, kategorie a početní stav JSDHO Kleneč</w:t>
      </w: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její vybavení požární technikou a věcnými prostředky jsou uvedeny v příloze č. 2 </w:t>
      </w:r>
      <w:r>
        <w:rPr>
          <w:rFonts w:cs="Times New Roman" w:ascii="Times New Roman" w:hAnsi="Times New Roman"/>
          <w:szCs w:val="24"/>
        </w:rPr>
        <w:t>této vyhlášky</w:t>
      </w:r>
      <w:r>
        <w:rPr>
          <w:rFonts w:ascii="Times New Roman" w:hAnsi="Times New Roman"/>
          <w:szCs w:val="24"/>
        </w:rPr>
        <w:t xml:space="preserve">.  </w:t>
      </w:r>
    </w:p>
    <w:p>
      <w:pPr>
        <w:pStyle w:val="ZkladntextIMP"/>
        <w:spacing w:lineRule="auto" w:line="240"/>
        <w:ind w:firstLine="30" w:left="7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firstLine="30" w:left="7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6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 xml:space="preserve">Přehled o zdrojích vody pro hašení požárů 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a podmínky pro zajištění jejich trvalé použitelnosti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numPr>
          <w:ilvl w:val="0"/>
          <w:numId w:val="20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Zdroje vody pro hašení požárů stanoví kraj svým nařízením.</w:t>
      </w:r>
      <w:r>
        <w:rPr>
          <w:rStyle w:val="FootnoteReference"/>
          <w:rFonts w:cs="Times New Roman" w:ascii="Times New Roman" w:hAnsi="Times New Roman"/>
          <w:szCs w:val="24"/>
        </w:rPr>
        <w:footnoteReference w:id="4"/>
      </w:r>
      <w:r>
        <w:rPr>
          <w:rFonts w:cs="Times New Roman" w:ascii="Times New Roman" w:hAnsi="Times New Roman"/>
          <w:szCs w:val="24"/>
          <w:vertAlign w:val="superscript"/>
        </w:rPr>
        <w:t>)</w:t>
      </w:r>
    </w:p>
    <w:p>
      <w:pPr>
        <w:pStyle w:val="ZkladntextIMP"/>
        <w:numPr>
          <w:ilvl w:val="0"/>
          <w:numId w:val="21"/>
        </w:numPr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Obec nad rámec výše uvedeného nařízení nestanoví další zdroj vody pro hašení požárů.</w:t>
      </w:r>
    </w:p>
    <w:p>
      <w:pPr>
        <w:pStyle w:val="Normal"/>
        <w:widowControl w:val="false"/>
        <w:numPr>
          <w:ilvl w:val="0"/>
          <w:numId w:val="22"/>
        </w:numPr>
        <w:overflowPunct w:val="true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>
        <w:rPr>
          <w:rStyle w:val="FootnoteReference"/>
          <w:rFonts w:cs="Times New Roman"/>
          <w:sz w:val="24"/>
          <w:szCs w:val="24"/>
        </w:rPr>
        <w:footnoteReference w:id="5"/>
      </w:r>
      <w:r>
        <w:rPr>
          <w:rFonts w:cs="Times New Roman"/>
          <w:sz w:val="24"/>
          <w:szCs w:val="24"/>
          <w:vertAlign w:val="superscript"/>
        </w:rPr>
        <w:t>)</w:t>
      </w:r>
    </w:p>
    <w:p>
      <w:pPr>
        <w:pStyle w:val="ZkladntextIMP"/>
        <w:spacing w:lineRule="auto" w:line="240"/>
        <w:ind w:hanging="15" w:left="15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7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Systém ohlašoven požárů a dalších míst, odkud lze hlásit požár a způsob jejich označení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ZkladntextIMP"/>
        <w:numPr>
          <w:ilvl w:val="0"/>
          <w:numId w:val="23"/>
        </w:numPr>
        <w:shd w:val="clear" w:color="auto" w:fill="FFFFFF"/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Obec zřizuje ohlašovnu požárů</w:t>
      </w:r>
      <w:r>
        <w:rPr>
          <w:rStyle w:val="FootnoteReference"/>
          <w:rFonts w:cs="Times New Roman" w:ascii="Times New Roman" w:hAnsi="Times New Roman"/>
          <w:szCs w:val="24"/>
        </w:rPr>
        <w:footnoteReference w:id="6"/>
      </w:r>
      <w:r>
        <w:rPr>
          <w:rFonts w:cs="Times New Roman" w:ascii="Times New Roman" w:hAnsi="Times New Roman"/>
          <w:szCs w:val="24"/>
          <w:vertAlign w:val="superscript"/>
        </w:rPr>
        <w:t>)</w:t>
      </w:r>
      <w:r>
        <w:rPr>
          <w:rFonts w:cs="Times New Roman" w:ascii="Times New Roman" w:hAnsi="Times New Roman"/>
          <w:szCs w:val="24"/>
        </w:rPr>
        <w:t xml:space="preserve">, která je trvale označena tabulkou „Ohlašovna požárů“, která se nachází v budově Obecního úřadu Kleneč na adrese Hlavní 95; telefon </w:t>
      </w:r>
      <w:r>
        <w:rPr>
          <w:rFonts w:cs="Times New Roman" w:ascii="Times New Roman" w:hAnsi="Times New Roman"/>
        </w:rPr>
        <w:t xml:space="preserve">416 846 120 </w:t>
      </w:r>
      <w:r>
        <w:rPr>
          <w:rFonts w:cs="Times New Roman" w:ascii="Times New Roman" w:hAnsi="Times New Roman"/>
          <w:szCs w:val="24"/>
        </w:rPr>
        <w:t xml:space="preserve">nebo </w:t>
      </w:r>
      <w:r>
        <w:rPr>
          <w:rFonts w:cs="Times New Roman" w:ascii="Times New Roman" w:hAnsi="Times New Roman"/>
        </w:rPr>
        <w:t>725 055 355 nebo 604 759 067</w:t>
      </w:r>
      <w:r>
        <w:rPr>
          <w:rFonts w:cs="Times New Roman" w:ascii="Times New Roman" w:hAnsi="Times New Roman"/>
          <w:szCs w:val="24"/>
        </w:rPr>
        <w:t>.</w:t>
      </w:r>
    </w:p>
    <w:p>
      <w:pPr>
        <w:pStyle w:val="ZkladntextIMP"/>
        <w:numPr>
          <w:ilvl w:val="0"/>
          <w:numId w:val="24"/>
        </w:numPr>
        <w:spacing w:lineRule="auto" w:line="240"/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szCs w:val="24"/>
        </w:rPr>
        <w:t>Obec nezřizuje další místo pro hlášení požárů, které je trvale označeno tabulkou „Zde hlaste požár“ nebo symbolem telefonního čísla „150“.</w:t>
      </w:r>
    </w:p>
    <w:p>
      <w:pPr>
        <w:pStyle w:val="ZkladntextIMP"/>
        <w:spacing w:lineRule="auto" w:line="240"/>
        <w:ind w:hanging="15" w:left="15"/>
        <w:rPr>
          <w:rFonts w:ascii="Times New Roman" w:hAnsi="Times New Roman" w:cs="Times New Roman"/>
          <w:b/>
          <w:szCs w:val="24"/>
          <w:highlight w:val="yellow"/>
        </w:rPr>
      </w:pPr>
      <w:r>
        <w:rPr>
          <w:rFonts w:cs="Times New Roman" w:ascii="Times New Roman" w:hAnsi="Times New Roman"/>
          <w:b/>
          <w:szCs w:val="24"/>
          <w:highlight w:val="yellow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8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Způsob vyhlášení požárního poplachu</w:t>
      </w:r>
    </w:p>
    <w:p>
      <w:pPr>
        <w:pStyle w:val="ZkladntextIMP"/>
        <w:spacing w:lineRule="auto" w:line="240"/>
        <w:ind w:hanging="15" w:left="15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Vyhlášení požárního poplachu v obci se provádí </w:t>
      </w:r>
      <w:r>
        <w:rPr>
          <w:color w:val="auto"/>
          <w:sz w:val="23"/>
          <w:szCs w:val="23"/>
        </w:rPr>
        <w:t xml:space="preserve">prostřednictvím </w:t>
      </w:r>
      <w:r>
        <w:rPr>
          <w:color w:val="auto"/>
        </w:rPr>
        <w:t>signálem „POŽÁRNÍ POPLACH”, který je vyhlašován přerušovaným tónem sirény po dobu jedné minuty (25 sec. tón – 10 sec. pauza – 25 sec. tón) nebo obecním rozhlasem.</w:t>
      </w:r>
    </w:p>
    <w:p>
      <w:pPr>
        <w:pStyle w:val="Default"/>
        <w:numPr>
          <w:ilvl w:val="0"/>
          <w:numId w:val="3"/>
        </w:numPr>
        <w:jc w:val="both"/>
        <w:rPr/>
      </w:pPr>
      <w:r>
        <w:rPr/>
        <w:t>V případě poruchy technických zařízení pro vyhlášení požárního poplachu se požární poplach v obci vyhlašuje ručním zvoněním.</w:t>
      </w:r>
    </w:p>
    <w:p>
      <w:pPr>
        <w:pStyle w:val="Normal"/>
        <w:suppressAutoHyphens w:val="false"/>
        <w:overflowPunct w:val="tru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br w:type="page"/>
      </w:r>
    </w:p>
    <w:p>
      <w:pPr>
        <w:pStyle w:val="ZkladntextIMP"/>
        <w:spacing w:lineRule="auto" w:line="240" w:before="0" w:after="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9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 xml:space="preserve">Seznam sil a jednotek požární ochrany podle výpisu </w:t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z požárního poplachového plánu kraje</w:t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b/>
          <w:szCs w:val="24"/>
          <w:shd w:fill="FFFF00" w:val="clear"/>
        </w:rPr>
      </w:pPr>
      <w:r>
        <w:rPr>
          <w:rFonts w:cs="Times New Roman" w:ascii="Times New Roman" w:hAnsi="Times New Roman"/>
          <w:szCs w:val="24"/>
        </w:rPr>
        <w:t>Seznam sil a jednotek požární ochrany podle výpisu z požárního poplachového plánu Ústeckého kraje</w:t>
      </w:r>
      <w:r>
        <w:rPr>
          <w:rStyle w:val="FootnoteReference"/>
          <w:rFonts w:cs="Times New Roman" w:ascii="Times New Roman" w:hAnsi="Times New Roman"/>
          <w:szCs w:val="24"/>
        </w:rPr>
        <w:footnoteReference w:id="7"/>
      </w:r>
      <w:r>
        <w:rPr>
          <w:rFonts w:cs="Times New Roman" w:ascii="Times New Roman" w:hAnsi="Times New Roman"/>
          <w:szCs w:val="24"/>
          <w:vertAlign w:val="superscript"/>
        </w:rPr>
        <w:t>)</w:t>
      </w:r>
      <w:r>
        <w:rPr>
          <w:rFonts w:cs="Times New Roman" w:ascii="Times New Roman" w:hAnsi="Times New Roman"/>
          <w:szCs w:val="24"/>
        </w:rPr>
        <w:t xml:space="preserve"> je uveden v příloze č. 1 této vyhlášky.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10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Zrušovací ustanovení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Zrušuje se obecně závazná vyhláška č. 2/2012, požární řád obce Kleneč, ze dne 18. 6. 2012.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Článek 11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Účinnost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Tato vyhláška nabývá účinnosti počátkem patnáctého dne následujícího po dni jejího vyhlášení. </w:t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499"/>
      </w:tblGrid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Zdeněk Justa v. r.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místostarosta</w:t>
            </w:r>
          </w:p>
        </w:tc>
        <w:tc>
          <w:tcPr>
            <w:tcW w:w="4499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Aleš Kraus v. r.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starosta</w:t>
            </w:r>
          </w:p>
        </w:tc>
      </w:tr>
    </w:tbl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4"/>
        </w:rPr>
        <w:t xml:space="preserve"> </w:t>
      </w:r>
    </w:p>
    <w:p>
      <w:pPr>
        <w:pStyle w:val="BodyText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uppressAutoHyphens w:val="false"/>
        <w:overflowPunct w:val="tru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br w:type="page"/>
      </w:r>
    </w:p>
    <w:p>
      <w:pPr>
        <w:pStyle w:val="ZkladntextIMP"/>
        <w:spacing w:lineRule="auto" w:line="240" w:before="0" w:after="0"/>
        <w:ind w:left="0"/>
        <w:rPr>
          <w:rFonts w:ascii="Times New Roman" w:hAnsi="Times New Roman" w:cs="Times New Roman"/>
          <w:b/>
          <w:szCs w:val="24"/>
          <w:u w:val="single"/>
          <w:shd w:fill="FFFF00" w:val="clear"/>
        </w:rPr>
      </w:pPr>
      <w:r>
        <w:rPr>
          <w:rFonts w:cs="Times New Roman" w:ascii="Times New Roman" w:hAnsi="Times New Roman"/>
          <w:b/>
          <w:szCs w:val="24"/>
        </w:rPr>
        <w:t>Příloha č. 1 obecně závazné vyhlášky, požární řád</w:t>
      </w:r>
    </w:p>
    <w:p>
      <w:pPr>
        <w:pStyle w:val="Normal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>
      <w:pPr>
        <w:pStyle w:val="ZkladntextIMP"/>
        <w:spacing w:lineRule="auto" w:line="240"/>
        <w:ind w:left="212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ZkladntextIMP"/>
        <w:spacing w:lineRule="auto" w:line="240"/>
        <w:ind w:left="212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ZkladntextIMP"/>
        <w:spacing w:lineRule="auto" w:line="240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eastAsia="Calibri" w:cs="Times New Roman" w:ascii="Times New Roman" w:hAnsi="Times New Roman"/>
          <w:szCs w:val="24"/>
        </w:rPr>
        <w:t xml:space="preserve">Územní odbor Litoměřice HZS Ústeckého kraje </w:t>
      </w:r>
      <w:r>
        <w:rPr>
          <w:rFonts w:cs="Times New Roman" w:ascii="Times New Roman" w:hAnsi="Times New Roman"/>
          <w:szCs w:val="24"/>
        </w:rPr>
        <w:t xml:space="preserve">– okres </w:t>
      </w:r>
      <w:r>
        <w:rPr>
          <w:rFonts w:eastAsia="Calibri" w:cs="Times New Roman" w:ascii="Times New Roman" w:hAnsi="Times New Roman"/>
          <w:szCs w:val="24"/>
        </w:rPr>
        <w:t>Litoměřice</w:t>
      </w:r>
    </w:p>
    <w:p>
      <w:pPr>
        <w:pStyle w:val="ZkladntextIMP"/>
        <w:spacing w:lineRule="auto" w:line="240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9"/>
          <w:tab w:val="left" w:pos="720" w:leader="none"/>
        </w:tabs>
        <w:ind w:right="7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POŽÁRNÍ</w:t>
      </w:r>
    </w:p>
    <w:p>
      <w:pPr>
        <w:pStyle w:val="Normal"/>
        <w:tabs>
          <w:tab w:val="clear" w:pos="709"/>
          <w:tab w:val="left" w:pos="720" w:leader="none"/>
        </w:tabs>
        <w:ind w:right="7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POPLACHOVÝ PLÁN</w:t>
      </w:r>
    </w:p>
    <w:p>
      <w:pPr>
        <w:pStyle w:val="Normal"/>
        <w:tabs>
          <w:tab w:val="clear" w:pos="709"/>
          <w:tab w:val="left" w:pos="720" w:leader="none"/>
        </w:tabs>
        <w:ind w:right="7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Spacing"/>
        <w:rPr/>
      </w:pPr>
      <w:r>
        <w:rPr>
          <w:color w:val="000000"/>
        </w:rPr>
        <w:t>Pro  město - obec:</w:t>
        <w:tab/>
        <w:tab/>
      </w:r>
      <w:r>
        <w:rPr>
          <w:b/>
          <w:bCs/>
          <w:u w:val="single"/>
        </w:rPr>
        <w:t>Kleneč</w:t>
      </w:r>
    </w:p>
    <w:p>
      <w:pPr>
        <w:pStyle w:val="NoSpacing"/>
        <w:rPr/>
      </w:pPr>
      <w:r>
        <w:rPr/>
        <w:tab/>
        <w:tab/>
        <w:tab/>
        <w:tab/>
        <w:t>Kleneč</w:t>
        <w:tab/>
      </w:r>
    </w:p>
    <w:p>
      <w:pPr>
        <w:pStyle w:val="Normal"/>
        <w:tabs>
          <w:tab w:val="clear" w:pos="709"/>
          <w:tab w:val="left" w:pos="720" w:leader="none"/>
        </w:tabs>
        <w:ind w:right="7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4606" w:type="dxa"/>
        <w:jc w:val="left"/>
        <w:tblInd w:w="24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6"/>
        <w:gridCol w:w="3669"/>
      </w:tblGrid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Jednotka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  <w:t>HZS Roudnice n/L</w:t>
            </w:r>
          </w:p>
          <w:p>
            <w:pPr>
              <w:pStyle w:val="NoSpacing"/>
              <w:rPr/>
            </w:pPr>
            <w:r>
              <w:rPr/>
              <w:t>SDH Roudnice n/L</w:t>
            </w:r>
          </w:p>
          <w:p>
            <w:pPr>
              <w:pStyle w:val="NoSpacing"/>
              <w:rPr/>
            </w:pPr>
            <w:r>
              <w:rPr/>
              <w:t>SDH Horní Beřkovice</w:t>
            </w:r>
          </w:p>
          <w:p>
            <w:pPr>
              <w:pStyle w:val="NoSpacing"/>
              <w:rPr/>
            </w:pPr>
            <w:r>
              <w:rPr/>
              <w:t>SDH Brozany n/O</w:t>
            </w:r>
          </w:p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pacing w:lineRule="auto" w:line="24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  <w:t>SDH Budyně n/O</w:t>
            </w:r>
          </w:p>
          <w:p>
            <w:pPr>
              <w:pStyle w:val="NoSpacing"/>
              <w:rPr/>
            </w:pPr>
            <w:r>
              <w:rPr/>
              <w:t>HZS Štětí</w:t>
            </w:r>
          </w:p>
          <w:p>
            <w:pPr>
              <w:pStyle w:val="NoSpacing"/>
              <w:rPr/>
            </w:pPr>
            <w:r>
              <w:rPr/>
              <w:t>SDH Vrbice u Polep</w:t>
            </w:r>
          </w:p>
          <w:p>
            <w:pPr>
              <w:pStyle w:val="NoSpacing"/>
              <w:rPr/>
            </w:pPr>
            <w:r>
              <w:rPr/>
              <w:t>SDH Bohušovice n/O</w:t>
            </w:r>
          </w:p>
          <w:p>
            <w:pPr>
              <w:pStyle w:val="NoSpacing"/>
              <w:rPr/>
            </w:pPr>
            <w:r>
              <w:rPr/>
              <w:t>SDH Mšené - lázně</w:t>
            </w:r>
          </w:p>
          <w:p>
            <w:pPr>
              <w:pStyle w:val="NoSpacing"/>
              <w:rPr/>
            </w:pPr>
            <w:r>
              <w:rPr/>
              <w:t>SDH Štětí</w:t>
            </w:r>
          </w:p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ZkladntextIMP"/>
        <w:spacing w:lineRule="auto" w:line="240"/>
        <w:ind w:left="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left="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suppressAutoHyphens w:val="false"/>
        <w:overflowPunct w:val="tru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br w:type="page"/>
      </w:r>
    </w:p>
    <w:p>
      <w:pPr>
        <w:pStyle w:val="ZkladntextIMP"/>
        <w:spacing w:lineRule="auto" w:line="240" w:before="0" w:after="0"/>
        <w:ind w:left="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Příloha č. 2 obecně závazné vyhlášky, požární řád</w:t>
      </w:r>
    </w:p>
    <w:p>
      <w:pPr>
        <w:pStyle w:val="ZkladntextIMP"/>
        <w:spacing w:lineRule="auto" w:line="240"/>
        <w:ind w:left="0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</w:rPr>
        <w:t xml:space="preserve">A) </w:t>
      </w:r>
      <w:r>
        <w:rPr>
          <w:rFonts w:cs="Times New Roman" w:ascii="Times New Roman" w:hAnsi="Times New Roman"/>
          <w:b/>
          <w:szCs w:val="24"/>
          <w:u w:val="single"/>
        </w:rPr>
        <w:t xml:space="preserve">Dislokace, kategorie a početní stav JSDHO Kleneč </w:t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Cs w:val="24"/>
          <w:shd w:fill="FFFF00" w:val="clear"/>
        </w:rPr>
      </w:pPr>
      <w:r>
        <w:rPr>
          <w:rFonts w:cs="Times New Roman" w:ascii="Times New Roman" w:hAnsi="Times New Roman"/>
          <w:szCs w:val="24"/>
          <w:shd w:fill="FFFF00" w:val="clear"/>
        </w:rPr>
      </w:r>
    </w:p>
    <w:tbl>
      <w:tblPr>
        <w:tblW w:w="6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7"/>
        <w:gridCol w:w="1986"/>
        <w:gridCol w:w="2268"/>
      </w:tblGrid>
      <w:tr>
        <w:trPr/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Dislokace JSDHO Kleneč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Kategorie JSDHO Kleneč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Počet členů</w:t>
            </w:r>
          </w:p>
        </w:tc>
      </w:tr>
      <w:tr>
        <w:trPr/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Kleneč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JPO 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1+5</w:t>
            </w:r>
          </w:p>
        </w:tc>
      </w:tr>
    </w:tbl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kladntextIMP"/>
        <w:spacing w:lineRule="auto" w:line="240"/>
        <w:ind w:hanging="15" w:left="15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</w:rPr>
        <w:t xml:space="preserve">B) </w:t>
      </w:r>
      <w:r>
        <w:rPr>
          <w:rFonts w:cs="Times New Roman" w:ascii="Times New Roman" w:hAnsi="Times New Roman"/>
          <w:b/>
          <w:szCs w:val="24"/>
          <w:u w:val="single"/>
        </w:rPr>
        <w:t xml:space="preserve">Vybavení JSDHO Kleneč </w:t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cs="Times New Roman" w:ascii="Times New Roman" w:hAnsi="Times New Roman"/>
          <w:b/>
          <w:szCs w:val="24"/>
          <w:u w:val="single"/>
        </w:rPr>
      </w:r>
    </w:p>
    <w:tbl>
      <w:tblPr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62"/>
        <w:gridCol w:w="2552"/>
      </w:tblGrid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Počet kusů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Stříkačka PPS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Plovoucí čerpadlo C 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>
          <w:trHeight w:val="345" w:hRule="atLeast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kladntextIMP"/>
              <w:snapToGrid w:val="false"/>
              <w:spacing w:lineRule="auto" w:line="24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ZkladntextIMP"/>
        <w:spacing w:lineRule="auto" w:line="240"/>
        <w:ind w:hanging="15" w:left="15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077" w:footer="0" w:bottom="107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42" w:left="142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3">
    <w:p>
      <w:pPr>
        <w:pStyle w:val="FootnoteText"/>
        <w:ind w:hanging="170" w:left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nařízení Ústeckého kraje č. 7/2003, ze dne 12. 11. 2003, kterým se stanoví podmínky k zabezpečení požární ochrany při akcích, kterých se zúčastňuje větší počet osob</w:t>
      </w:r>
    </w:p>
  </w:footnote>
  <w:footnote w:id="4">
    <w:p>
      <w:pPr>
        <w:pStyle w:val="FootnoteText"/>
        <w:ind w:hanging="142" w:left="142"/>
        <w:jc w:val="both"/>
        <w:rPr>
          <w:lang w:val="cs-CZ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nařízení Ústeckého kraje č. 8/2012, kterým se stanoví podmínky k zabezpečení zdrojů vody k hašení požárů na území Ústeckého kraje, ze dne 29. 2. 2012</w:t>
      </w:r>
      <w:r>
        <w:rPr>
          <w:lang w:val="cs-CZ"/>
        </w:rPr>
        <w:t>; t</w:t>
      </w:r>
      <w:r>
        <w:rPr/>
        <w:t>oto nařízení stanoví následující zdroje vody k hašení požárů pro obec:</w:t>
      </w:r>
      <w:r>
        <w:rPr>
          <w:lang w:val="cs-CZ"/>
        </w:rPr>
        <w:t xml:space="preserve"> </w:t>
      </w:r>
    </w:p>
    <w:p>
      <w:pPr>
        <w:pStyle w:val="FootnoteText"/>
        <w:ind w:left="142"/>
        <w:jc w:val="both"/>
        <w:rPr>
          <w:lang w:val="cs-CZ"/>
        </w:rPr>
      </w:pPr>
      <w:r>
        <w:rPr/>
        <w:drawing>
          <wp:inline distT="0" distB="0" distL="0" distR="0">
            <wp:extent cx="5761990" cy="393065"/>
            <wp:effectExtent l="0" t="0" r="0" b="0"/>
            <wp:docPr id="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45480" cy="562610"/>
            <wp:effectExtent l="0" t="0" r="0" b="0"/>
            <wp:docPr id="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5">
    <w:p>
      <w:pPr>
        <w:pStyle w:val="Zkladntext31"/>
        <w:ind w:hanging="170" w:left="170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Style w:val="Znakypropoznmkupodarou"/>
        </w:rPr>
        <w:footnoteRef/>
      </w:r>
      <w:r>
        <w:rPr>
          <w:rFonts w:cs="Times New Roman" w:ascii="Times New Roman" w:hAnsi="Times New Roman"/>
          <w:b w:val="false"/>
          <w:sz w:val="20"/>
          <w:szCs w:val="20"/>
          <w:vertAlign w:val="superscript"/>
        </w:rPr>
        <w:tab/>
        <w:t>)</w:t>
      </w:r>
      <w:r>
        <w:rPr>
          <w:rFonts w:cs="Times New Roman" w:ascii="Times New Roman" w:hAnsi="Times New Roman"/>
          <w:b w:val="false"/>
          <w:sz w:val="20"/>
          <w:szCs w:val="20"/>
        </w:rPr>
        <w:t xml:space="preserve"> např. § 7 odst. 1 zákona o požární ochraně, § 5 odst. 1 písm. b) zákona o požární ochraně,</w:t>
      </w:r>
      <w:r>
        <w:rPr>
          <w:rFonts w:cs="Times New Roman" w:ascii="Times New Roman" w:hAnsi="Times New Roman"/>
          <w:b w:val="false"/>
          <w:sz w:val="20"/>
          <w:szCs w:val="20"/>
          <w:shd w:fill="FFFFFF" w:val="clear"/>
        </w:rPr>
        <w:t xml:space="preserve"> § 17 odst. 1 písm. b) a e) zákona o požární ochraně</w:t>
      </w:r>
    </w:p>
  </w:footnote>
  <w:footnote w:id="6">
    <w:p>
      <w:pPr>
        <w:pStyle w:val="FootnoteText"/>
        <w:ind w:hanging="142" w:left="142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</w:t>
      </w:r>
    </w:p>
  </w:footnote>
  <w:footnote w:id="7">
    <w:p>
      <w:pPr>
        <w:pStyle w:val="FootnoteText"/>
        <w:ind w:hanging="170" w:left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hAnsi="Times New Roman"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hAnsi="Times New Roman"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hAnsi="Times New Roman"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false"/>
        <w:szCs w:val="24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hAnsi="Times New Roman"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false"/>
        <w:szCs w:val="24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b w:val="false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sz w:val="24"/>
        <w:b w:val="false"/>
        <w:szCs w:val="24"/>
        <w:rFonts w:ascii="Times New Roman" w:hAnsi="Times New Roman" w:cs="Times New Roman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hAnsi="Times New Roman"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4"/>
    <w:lvlOverride w:ilvl="0">
      <w:startOverride w:val="1"/>
    </w:lvlOverride>
  </w:num>
  <w:num w:numId="16">
    <w:abstractNumId w:val="4"/>
  </w:num>
  <w:num w:numId="17">
    <w:abstractNumId w:val="4"/>
  </w:num>
  <w:num w:numId="18">
    <w:abstractNumId w:val="7"/>
    <w:lvlOverride w:ilvl="0">
      <w:startOverride w:val="1"/>
    </w:lvlOverride>
  </w:num>
  <w:num w:numId="19">
    <w:abstractNumId w:val="7"/>
  </w:num>
  <w:num w:numId="20">
    <w:abstractNumId w:val="9"/>
    <w:lvlOverride w:ilvl="0">
      <w:startOverride w:val="1"/>
    </w:lvlOverride>
  </w:num>
  <w:num w:numId="21">
    <w:abstractNumId w:val="9"/>
  </w:num>
  <w:num w:numId="22">
    <w:abstractNumId w:val="9"/>
  </w:num>
  <w:num w:numId="23">
    <w:abstractNumId w:val="12"/>
    <w:lvlOverride w:ilvl="0">
      <w:startOverride w:val="1"/>
    </w:lvlOverride>
  </w:num>
  <w:num w:numId="24">
    <w:abstractNumId w:val="12"/>
  </w:num>
</w:numbering>
</file>

<file path=word/settings.xml><?xml version="1.0" encoding="utf-8"?>
<w:settings xmlns:w="http://schemas.openxmlformats.org/wordprocessingml/2006/main">
  <w:zoom w:percent="52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713f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0"/>
      <w:sz w:val="20"/>
      <w:szCs w:val="20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ba28e5"/>
    <w:pPr>
      <w:keepNext w:val="true"/>
      <w:suppressAutoHyphens w:val="false"/>
      <w:overflowPunct w:val="true"/>
      <w:jc w:val="both"/>
      <w:outlineLvl w:val="1"/>
    </w:pPr>
    <w:rPr>
      <w:rFonts w:cs="Times New Roman"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qFormat/>
    <w:rsid w:val="001f713f"/>
    <w:rPr>
      <w:rFonts w:ascii="Times New Roman" w:hAnsi="Times New Roman" w:eastAsia="Times New Roman" w:cs="Calibri"/>
      <w:sz w:val="20"/>
      <w:szCs w:val="20"/>
      <w:lang w:eastAsia="cs-CZ"/>
    </w:rPr>
  </w:style>
  <w:style w:type="character" w:styleId="Znakypropoznmkupodarou">
    <w:name w:val="Znaky pro poznámku pod čarou"/>
    <w:semiHidden/>
    <w:unhideWhenUsed/>
    <w:qFormat/>
    <w:rsid w:val="001f713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kladntext2Char" w:customStyle="1">
    <w:name w:val="Základní text 2 Char"/>
    <w:link w:val="BodyText2"/>
    <w:qFormat/>
    <w:rsid w:val="001f713f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ProsttextChar" w:customStyle="1">
    <w:name w:val="Prostý text Char"/>
    <w:link w:val="PlainText"/>
    <w:qFormat/>
    <w:rsid w:val="002b6e10"/>
    <w:rPr>
      <w:rFonts w:ascii="Courier New" w:hAnsi="Courier New" w:eastAsia="Times New Roman"/>
      <w:lang w:val="x-none" w:eastAsia="x-none"/>
    </w:rPr>
  </w:style>
  <w:style w:type="character" w:styleId="ZkladntextChar" w:customStyle="1">
    <w:name w:val="Základní text Char"/>
    <w:qFormat/>
    <w:rsid w:val="002b6e10"/>
    <w:rPr>
      <w:rFonts w:ascii="Times New Roman" w:hAnsi="Times New Roman" w:eastAsia="Times New Roman"/>
      <w:sz w:val="24"/>
    </w:rPr>
  </w:style>
  <w:style w:type="character" w:styleId="ZhlavChar" w:customStyle="1">
    <w:name w:val="Záhlaví Char"/>
    <w:uiPriority w:val="99"/>
    <w:semiHidden/>
    <w:qFormat/>
    <w:rsid w:val="000c1672"/>
    <w:rPr>
      <w:rFonts w:ascii="Times New Roman" w:hAnsi="Times New Roman" w:eastAsia="Times New Roman" w:cs="Calibri"/>
    </w:rPr>
  </w:style>
  <w:style w:type="character" w:styleId="ZpatChar" w:customStyle="1">
    <w:name w:val="Zápatí Char"/>
    <w:uiPriority w:val="99"/>
    <w:semiHidden/>
    <w:qFormat/>
    <w:rsid w:val="000c1672"/>
    <w:rPr>
      <w:rFonts w:ascii="Times New Roman" w:hAnsi="Times New Roman" w:eastAsia="Times New Roman" w:cs="Calibri"/>
    </w:rPr>
  </w:style>
  <w:style w:type="character" w:styleId="TextbublinyChar" w:customStyle="1">
    <w:name w:val="Text bubliny Char"/>
    <w:link w:val="BalloonText"/>
    <w:uiPriority w:val="99"/>
    <w:semiHidden/>
    <w:qFormat/>
    <w:rsid w:val="00983718"/>
    <w:rPr>
      <w:rFonts w:ascii="Tahoma" w:hAnsi="Tahoma" w:eastAsia="Times New Roman" w:cs="Tahoma"/>
      <w:sz w:val="16"/>
      <w:szCs w:val="16"/>
    </w:rPr>
  </w:style>
  <w:style w:type="character" w:styleId="St" w:customStyle="1">
    <w:name w:val="st"/>
    <w:basedOn w:val="DefaultParagraphFont"/>
    <w:qFormat/>
    <w:rsid w:val="00ec47c7"/>
    <w:rPr/>
  </w:style>
  <w:style w:type="character" w:styleId="Standardnpsmoodstavce1" w:customStyle="1">
    <w:name w:val="Standardní písmo odstavce1"/>
    <w:qFormat/>
    <w:rsid w:val="00116a5c"/>
    <w:rPr/>
  </w:style>
  <w:style w:type="character" w:styleId="St1" w:customStyle="1">
    <w:name w:val="st1"/>
    <w:qFormat/>
    <w:rsid w:val="00b2448f"/>
    <w:rPr/>
  </w:style>
  <w:style w:type="character" w:styleId="Nadpis2Char" w:customStyle="1">
    <w:name w:val="Nadpis 2 Char"/>
    <w:qFormat/>
    <w:rsid w:val="00ba28e5"/>
    <w:rPr>
      <w:rFonts w:ascii="Times New Roman" w:hAnsi="Times New Roman" w:eastAsia="Times New Roman"/>
      <w:sz w:val="24"/>
      <w:u w:val="single"/>
    </w:rPr>
  </w:style>
  <w:style w:type="character" w:styleId="Hyperlink">
    <w:name w:val="Hyperlink"/>
    <w:uiPriority w:val="99"/>
    <w:unhideWhenUsed/>
    <w:rsid w:val="00f1175b"/>
    <w:rPr>
      <w:color w:val="0563C1"/>
      <w:u w:val="single"/>
    </w:rPr>
  </w:style>
  <w:style w:type="character" w:styleId="Markedcontent" w:customStyle="1">
    <w:name w:val="markedcontent"/>
    <w:basedOn w:val="DefaultParagraphFont"/>
    <w:qFormat/>
    <w:rsid w:val="000e2b3e"/>
    <w:rPr/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2b6e10"/>
    <w:pPr>
      <w:suppressAutoHyphens w:val="false"/>
      <w:overflowPunct w:val="true"/>
      <w:spacing w:before="0" w:after="120"/>
    </w:pPr>
    <w:rPr>
      <w:rFonts w:cs="Times New Roman"/>
      <w:sz w:val="24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xtpoznpodarouChar"/>
    <w:unhideWhenUsed/>
    <w:rsid w:val="001f713f"/>
    <w:pPr/>
    <w:rPr>
      <w:rFonts w:cs="Times New Roman"/>
      <w:lang w:val="x-none"/>
    </w:rPr>
  </w:style>
  <w:style w:type="paragraph" w:styleId="ZkladntextIMP" w:customStyle="1">
    <w:name w:val="Základní text_IMP"/>
    <w:basedOn w:val="Normal"/>
    <w:qFormat/>
    <w:rsid w:val="001f713f"/>
    <w:pPr>
      <w:spacing w:lineRule="auto" w:line="276"/>
      <w:ind w:left="480"/>
    </w:pPr>
    <w:rPr>
      <w:rFonts w:ascii="Arial" w:hAnsi="Arial" w:cs="Arial"/>
      <w:sz w:val="24"/>
    </w:rPr>
  </w:style>
  <w:style w:type="paragraph" w:styleId="BodyText2">
    <w:name w:val="Body Text 2"/>
    <w:basedOn w:val="Normal"/>
    <w:link w:val="Zkladntext2Char"/>
    <w:qFormat/>
    <w:rsid w:val="001f713f"/>
    <w:pPr>
      <w:suppressAutoHyphens w:val="false"/>
      <w:overflowPunct w:val="true"/>
    </w:pPr>
    <w:rPr>
      <w:rFonts w:cs="Times New Roman"/>
      <w:sz w:val="24"/>
      <w:lang w:val="x-none"/>
    </w:rPr>
  </w:style>
  <w:style w:type="paragraph" w:styleId="PlainText">
    <w:name w:val="Plain Text"/>
    <w:basedOn w:val="Normal"/>
    <w:link w:val="ProsttextChar"/>
    <w:qFormat/>
    <w:rsid w:val="002b6e10"/>
    <w:pPr>
      <w:suppressAutoHyphens w:val="false"/>
      <w:overflowPunct w:val="true"/>
    </w:pPr>
    <w:rPr>
      <w:rFonts w:ascii="Courier New" w:hAnsi="Courier New" w:cs="Times New Roman"/>
      <w:lang w:val="x-none" w:eastAsia="x-none"/>
    </w:rPr>
  </w:style>
  <w:style w:type="paragraph" w:styleId="Normal1" w:customStyle="1">
    <w:name w:val="[Normal]"/>
    <w:qFormat/>
    <w:rsid w:val="009e21d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cs-CZ" w:eastAsia="cs-CZ" w:bidi="ar-SA"/>
    </w:rPr>
  </w:style>
  <w:style w:type="paragraph" w:styleId="Zkladntext31" w:customStyle="1">
    <w:name w:val="Základní text 31"/>
    <w:basedOn w:val="Normal"/>
    <w:qFormat/>
    <w:rsid w:val="00f44eb5"/>
    <w:pPr>
      <w:overflowPunct w:val="true"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0c1672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link w:val="ZpatChar"/>
    <w:uiPriority w:val="99"/>
    <w:semiHidden/>
    <w:unhideWhenUsed/>
    <w:rsid w:val="000c1672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83718"/>
    <w:pPr/>
    <w:rPr>
      <w:rFonts w:ascii="Tahoma" w:hAnsi="Tahoma" w:cs="Times New Roman"/>
      <w:sz w:val="16"/>
      <w:szCs w:val="16"/>
      <w:lang w:val="x-none" w:eastAsia="x-none"/>
    </w:rPr>
  </w:style>
  <w:style w:type="paragraph" w:styleId="Normln1" w:customStyle="1">
    <w:name w:val="Normální1"/>
    <w:qFormat/>
    <w:rsid w:val="00f477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paragraph" w:styleId="NormalWeb">
    <w:name w:val="Normal (Web)"/>
    <w:basedOn w:val="Normal"/>
    <w:qFormat/>
    <w:rsid w:val="002b5de2"/>
    <w:pPr>
      <w:suppressAutoHyphens w:val="false"/>
      <w:overflowPunct w:val="true"/>
      <w:spacing w:beforeAutospacing="1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f1175b"/>
    <w:pPr>
      <w:widowControl w:val="false"/>
      <w:suppressAutoHyphens w:val="false"/>
      <w:overflowPunct w:val="true"/>
      <w:ind w:hanging="568" w:left="684"/>
      <w:jc w:val="both"/>
    </w:pPr>
    <w:rPr>
      <w:rFonts w:ascii="Arial" w:hAnsi="Arial" w:eastAsia="Arial" w:cs="Arial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ee2463"/>
    <w:pPr>
      <w:widowControl w:val="false"/>
      <w:suppressAutoHyphens w:val="false"/>
      <w:overflowPunct w:val="true"/>
    </w:pPr>
    <w:rPr>
      <w:rFonts w:ascii="Arial" w:hAnsi="Arial" w:eastAsia="Arial" w:cs="Arial"/>
      <w:sz w:val="22"/>
      <w:szCs w:val="22"/>
      <w:lang w:eastAsia="en-US"/>
    </w:rPr>
  </w:style>
  <w:style w:type="paragraph" w:styleId="Prosttext1" w:customStyle="1">
    <w:name w:val="Prostý text1"/>
    <w:basedOn w:val="Normal"/>
    <w:qFormat/>
    <w:rsid w:val="00b85430"/>
    <w:pPr>
      <w:overflowPunct w:val="true"/>
    </w:pPr>
    <w:rPr>
      <w:rFonts w:ascii="Courier New" w:hAnsi="Courier New" w:cs="Times New Roman"/>
      <w:lang w:val="x-none" w:eastAsia="ar-SA"/>
    </w:rPr>
  </w:style>
  <w:style w:type="paragraph" w:styleId="NoSpacing">
    <w:name w:val="No Spacing"/>
    <w:uiPriority w:val="1"/>
    <w:qFormat/>
    <w:rsid w:val="00e66d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Default" w:customStyle="1">
    <w:name w:val="Default"/>
    <w:qFormat/>
    <w:rsid w:val="0010266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735e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ee2463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LibreOffice/7.6.2.1$Windows_X86_64 LibreOffice_project/56f7684011345957bbf33a7ee678afaf4d2ba333</Application>
  <AppVersion>15.0000</AppVersion>
  <Pages>6</Pages>
  <Words>993</Words>
  <Characters>5359</Characters>
  <CharactersWithSpaces>6264</CharactersWithSpaces>
  <Paragraphs>101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2024-04-10T09:12:00Z</dcterms:created>
  <dc:creator>Standard</dc:creator>
  <dc:description/>
  <dc:language>cs-CZ</dc:language>
  <cp:lastModifiedBy/>
  <cp:lastPrinted>2024-06-06T16:35:10Z</cp:lastPrinted>
  <dcterms:modified xsi:type="dcterms:W3CDTF">2024-06-06T16:39:36Z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