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129" w:rsidRPr="009C0D3F" w:rsidRDefault="00762129">
      <w:pPr>
        <w:pStyle w:val="Nzev"/>
        <w:rPr>
          <w:sz w:val="32"/>
        </w:rPr>
      </w:pPr>
      <w:bookmarkStart w:id="0" w:name="_Toc531581088"/>
      <w:bookmarkStart w:id="1" w:name="_Toc531583387"/>
      <w:r w:rsidRPr="009C0D3F">
        <w:rPr>
          <w:sz w:val="32"/>
        </w:rPr>
        <w:t xml:space="preserve">vyhláška </w:t>
      </w:r>
      <w:r w:rsidR="001E6ACF">
        <w:rPr>
          <w:sz w:val="32"/>
        </w:rPr>
        <w:t>statutárního</w:t>
      </w:r>
      <w:r w:rsidRPr="009C0D3F">
        <w:rPr>
          <w:sz w:val="32"/>
        </w:rPr>
        <w:t xml:space="preserve"> města Plzně</w:t>
      </w:r>
      <w:bookmarkEnd w:id="0"/>
      <w:bookmarkEnd w:id="1"/>
    </w:p>
    <w:p w:rsidR="00762129" w:rsidRPr="009C0D3F" w:rsidRDefault="009C27CB">
      <w:pPr>
        <w:spacing w:after="120"/>
        <w:jc w:val="center"/>
        <w:rPr>
          <w:rFonts w:ascii="Goudy Old Style ATT" w:hAnsi="Goudy Old Style ATT"/>
          <w:b/>
          <w:color w:val="000000"/>
          <w:sz w:val="30"/>
        </w:rPr>
      </w:pPr>
      <w:r>
        <w:rPr>
          <w:rFonts w:ascii="Goudy Old Style ATT" w:hAnsi="Goudy Old Style ATT"/>
          <w:b/>
          <w:color w:val="000000"/>
          <w:sz w:val="30"/>
        </w:rPr>
        <w:t xml:space="preserve"> č. 6</w:t>
      </w:r>
      <w:r w:rsidR="00234136">
        <w:rPr>
          <w:rFonts w:ascii="Goudy Old Style ATT" w:hAnsi="Goudy Old Style ATT"/>
          <w:b/>
          <w:color w:val="000000"/>
          <w:sz w:val="30"/>
        </w:rPr>
        <w:t>/2018</w:t>
      </w:r>
    </w:p>
    <w:p w:rsidR="00762129" w:rsidRPr="009C0D3F" w:rsidRDefault="00762129">
      <w:pPr>
        <w:spacing w:after="120"/>
        <w:jc w:val="both"/>
        <w:rPr>
          <w:rFonts w:ascii="Goudy Old Style ATT" w:hAnsi="Goudy Old Style ATT"/>
          <w:color w:val="000000"/>
          <w:spacing w:val="4"/>
          <w:sz w:val="26"/>
        </w:rPr>
      </w:pPr>
      <w:r w:rsidRPr="009C0D3F">
        <w:rPr>
          <w:rFonts w:ascii="Goudy Old Style ATT" w:hAnsi="Goudy Old Style ATT"/>
          <w:color w:val="000000"/>
          <w:spacing w:val="4"/>
          <w:sz w:val="26"/>
        </w:rPr>
        <w:tab/>
        <w:t>Zastupitelstvo města Plz</w:t>
      </w:r>
      <w:r w:rsidR="009E515D">
        <w:rPr>
          <w:rFonts w:ascii="Goudy Old Style ATT" w:hAnsi="Goudy Old Style ATT"/>
          <w:color w:val="000000"/>
          <w:spacing w:val="4"/>
          <w:sz w:val="26"/>
        </w:rPr>
        <w:t xml:space="preserve">ně svým usnesením č. </w:t>
      </w:r>
      <w:r w:rsidR="009C27CB">
        <w:rPr>
          <w:rFonts w:ascii="Goudy Old Style ATT" w:hAnsi="Goudy Old Style ATT"/>
          <w:color w:val="000000"/>
          <w:spacing w:val="4"/>
          <w:sz w:val="26"/>
        </w:rPr>
        <w:t>282</w:t>
      </w:r>
      <w:r w:rsidR="00E47564">
        <w:rPr>
          <w:rFonts w:ascii="Goudy Old Style ATT" w:hAnsi="Goudy Old Style ATT"/>
          <w:color w:val="000000"/>
          <w:spacing w:val="4"/>
          <w:sz w:val="26"/>
        </w:rPr>
        <w:t xml:space="preserve"> </w:t>
      </w:r>
      <w:r w:rsidR="009C27CB">
        <w:rPr>
          <w:rFonts w:ascii="Goudy Old Style ATT" w:hAnsi="Goudy Old Style ATT"/>
          <w:color w:val="000000"/>
          <w:spacing w:val="4"/>
          <w:sz w:val="26"/>
        </w:rPr>
        <w:t xml:space="preserve">ze dne 21. 6. </w:t>
      </w:r>
      <w:r w:rsidR="00234136">
        <w:rPr>
          <w:rFonts w:ascii="Goudy Old Style ATT" w:hAnsi="Goudy Old Style ATT"/>
          <w:color w:val="000000"/>
          <w:spacing w:val="4"/>
          <w:sz w:val="26"/>
        </w:rPr>
        <w:t>2018</w:t>
      </w:r>
      <w:r w:rsidRPr="009C0D3F">
        <w:rPr>
          <w:rFonts w:ascii="Goudy Old Style ATT" w:hAnsi="Goudy Old Style ATT"/>
          <w:color w:val="000000"/>
          <w:spacing w:val="4"/>
          <w:sz w:val="26"/>
        </w:rPr>
        <w:t xml:space="preserve"> schválilo podle čl. 104 odst. 3 Ústavy Če</w:t>
      </w:r>
      <w:r w:rsidR="009C0D3F">
        <w:rPr>
          <w:rFonts w:ascii="Goudy Old Style ATT" w:hAnsi="Goudy Old Style ATT"/>
          <w:color w:val="000000"/>
          <w:spacing w:val="4"/>
          <w:sz w:val="26"/>
        </w:rPr>
        <w:t>ské republiky č. 1/1993 Sb. a § </w:t>
      </w:r>
      <w:r w:rsidR="001C42D2">
        <w:rPr>
          <w:rFonts w:ascii="Goudy Old Style ATT" w:hAnsi="Goudy Old Style ATT"/>
          <w:color w:val="000000"/>
          <w:spacing w:val="4"/>
          <w:sz w:val="26"/>
        </w:rPr>
        <w:t>130 a </w:t>
      </w:r>
      <w:r w:rsidRPr="009C0D3F">
        <w:rPr>
          <w:rFonts w:ascii="Goudy Old Style ATT" w:hAnsi="Goudy Old Style ATT"/>
          <w:color w:val="000000"/>
          <w:spacing w:val="4"/>
          <w:sz w:val="26"/>
        </w:rPr>
        <w:t xml:space="preserve">následujících zákona č. 128/2000 Sb., o obcích, tuto obecně závaznou vyhlášku: </w:t>
      </w:r>
    </w:p>
    <w:p w:rsidR="00762129" w:rsidRPr="009C0D3F" w:rsidRDefault="00762129">
      <w:pPr>
        <w:spacing w:after="120"/>
        <w:jc w:val="both"/>
        <w:rPr>
          <w:rFonts w:ascii="Goudy Old Style ATT" w:hAnsi="Goudy Old Style ATT"/>
          <w:color w:val="000000"/>
          <w:spacing w:val="4"/>
          <w:sz w:val="26"/>
        </w:rPr>
      </w:pPr>
    </w:p>
    <w:p w:rsidR="00762129" w:rsidRPr="009C0D3F" w:rsidRDefault="00762129">
      <w:pPr>
        <w:spacing w:after="120"/>
        <w:jc w:val="center"/>
        <w:rPr>
          <w:rFonts w:ascii="Goudy Old Style ATT" w:hAnsi="Goudy Old Style ATT"/>
          <w:b/>
          <w:smallCaps/>
          <w:color w:val="000000"/>
          <w:spacing w:val="20"/>
          <w:sz w:val="34"/>
        </w:rPr>
      </w:pPr>
      <w:r w:rsidRPr="009C0D3F">
        <w:rPr>
          <w:rFonts w:ascii="Goudy Old Style ATT" w:hAnsi="Goudy Old Style ATT"/>
          <w:b/>
          <w:smallCaps/>
          <w:color w:val="000000"/>
          <w:spacing w:val="20"/>
          <w:sz w:val="34"/>
        </w:rPr>
        <w:t>o změnách a doplnění vyhlášky statutárního města Plzně č. 8/2001, Statut města</w:t>
      </w:r>
    </w:p>
    <w:p w:rsidR="00762129" w:rsidRPr="009C0D3F" w:rsidRDefault="00762129">
      <w:pPr>
        <w:spacing w:after="120"/>
        <w:jc w:val="center"/>
        <w:rPr>
          <w:rFonts w:ascii="Goudy Old Style ATT" w:hAnsi="Goudy Old Style ATT"/>
          <w:color w:val="000000"/>
          <w:sz w:val="16"/>
        </w:rPr>
      </w:pPr>
    </w:p>
    <w:p w:rsidR="00762129" w:rsidRPr="009C0D3F" w:rsidRDefault="00762129">
      <w:pPr>
        <w:spacing w:after="120"/>
        <w:jc w:val="center"/>
        <w:rPr>
          <w:rFonts w:ascii="Goudy Old Style ATT" w:hAnsi="Goudy Old Style ATT"/>
          <w:color w:val="000000"/>
          <w:sz w:val="16"/>
        </w:rPr>
      </w:pPr>
    </w:p>
    <w:p w:rsidR="00762129" w:rsidRPr="009C0D3F" w:rsidRDefault="00762129">
      <w:pPr>
        <w:pStyle w:val="Nadpis8"/>
      </w:pPr>
      <w:r w:rsidRPr="009C0D3F">
        <w:t>Článek 1</w:t>
      </w:r>
    </w:p>
    <w:p w:rsidR="00762129" w:rsidRPr="009C0D3F" w:rsidRDefault="00762129">
      <w:pPr>
        <w:pStyle w:val="Nadpis8"/>
        <w:spacing w:after="120"/>
      </w:pPr>
      <w:r w:rsidRPr="009C0D3F">
        <w:t>Změny a doplnění Statutu města</w:t>
      </w:r>
    </w:p>
    <w:p w:rsidR="00762129" w:rsidRDefault="00762129">
      <w:pPr>
        <w:pStyle w:val="Zkladntext2"/>
        <w:spacing w:after="120"/>
        <w:rPr>
          <w:rFonts w:ascii="Goudy Old Style ATT" w:hAnsi="Goudy Old Style ATT"/>
        </w:rPr>
      </w:pPr>
      <w:r w:rsidRPr="009C0D3F">
        <w:rPr>
          <w:rFonts w:ascii="Goudy Old Style ATT" w:hAnsi="Goudy Old Style ATT"/>
        </w:rPr>
        <w:tab/>
        <w:t>Vyhláška statutárního města Plzně č. 8/2001, Sta</w:t>
      </w:r>
      <w:r w:rsidR="00535D6B" w:rsidRPr="009C0D3F">
        <w:rPr>
          <w:rFonts w:ascii="Goudy Old Style ATT" w:hAnsi="Goudy Old Style ATT"/>
        </w:rPr>
        <w:t>tut města, ve znění vyhlášky č. </w:t>
      </w:r>
      <w:r w:rsidRPr="009C0D3F">
        <w:rPr>
          <w:rFonts w:ascii="Goudy Old Style ATT" w:hAnsi="Goudy Old Style ATT"/>
        </w:rPr>
        <w:t>12/2002, vyhlášky č. 3/2004, vyhlášky č. 20/2004, v</w:t>
      </w:r>
      <w:r w:rsidR="00535D6B" w:rsidRPr="009C0D3F">
        <w:rPr>
          <w:rFonts w:ascii="Goudy Old Style ATT" w:hAnsi="Goudy Old Style ATT"/>
        </w:rPr>
        <w:t xml:space="preserve">yhlášky č. 17/2005, vyhlášky č. 14/2006, </w:t>
      </w:r>
      <w:r w:rsidR="00641175">
        <w:rPr>
          <w:rFonts w:ascii="Goudy Old Style ATT" w:hAnsi="Goudy Old Style ATT"/>
        </w:rPr>
        <w:t>vyhlášky č. 20/2006,</w:t>
      </w:r>
      <w:r w:rsidR="00CC7C90">
        <w:rPr>
          <w:rFonts w:ascii="Goudy Old Style ATT" w:hAnsi="Goudy Old Style ATT"/>
        </w:rPr>
        <w:t xml:space="preserve"> vyhlášky č. 1/2009, </w:t>
      </w:r>
      <w:r w:rsidR="00641175">
        <w:rPr>
          <w:rFonts w:ascii="Goudy Old Style ATT" w:hAnsi="Goudy Old Style ATT"/>
        </w:rPr>
        <w:t xml:space="preserve">vyhlášky </w:t>
      </w:r>
      <w:r w:rsidR="00D5646D">
        <w:rPr>
          <w:rFonts w:ascii="Goudy Old Style ATT" w:hAnsi="Goudy Old Style ATT"/>
        </w:rPr>
        <w:t xml:space="preserve">č. </w:t>
      </w:r>
      <w:r w:rsidR="00F76464">
        <w:rPr>
          <w:rFonts w:ascii="Goudy Old Style ATT" w:hAnsi="Goudy Old Style ATT"/>
        </w:rPr>
        <w:t>3/2010, v</w:t>
      </w:r>
      <w:r w:rsidR="009E515D">
        <w:rPr>
          <w:rFonts w:ascii="Goudy Old Style ATT" w:hAnsi="Goudy Old Style ATT"/>
        </w:rPr>
        <w:t>yhlášky č. </w:t>
      </w:r>
      <w:r w:rsidR="00CC7C90">
        <w:rPr>
          <w:rFonts w:ascii="Goudy Old Style ATT" w:hAnsi="Goudy Old Style ATT"/>
        </w:rPr>
        <w:t>14/2011</w:t>
      </w:r>
      <w:r w:rsidR="00B2610B">
        <w:rPr>
          <w:rFonts w:ascii="Goudy Old Style ATT" w:hAnsi="Goudy Old Style ATT"/>
        </w:rPr>
        <w:t xml:space="preserve">, </w:t>
      </w:r>
      <w:r w:rsidR="00F76464">
        <w:rPr>
          <w:rFonts w:ascii="Goudy Old Style ATT" w:hAnsi="Goudy Old Style ATT"/>
        </w:rPr>
        <w:t>vyhlášky č. 9/2012</w:t>
      </w:r>
      <w:r w:rsidR="001E6ACF">
        <w:rPr>
          <w:rFonts w:ascii="Goudy Old Style ATT" w:hAnsi="Goudy Old Style ATT"/>
        </w:rPr>
        <w:t>,</w:t>
      </w:r>
      <w:r w:rsidR="00DE6C2D">
        <w:rPr>
          <w:rFonts w:ascii="Goudy Old Style ATT" w:hAnsi="Goudy Old Style ATT"/>
        </w:rPr>
        <w:t xml:space="preserve"> vyhlášky č. 3/2013, </w:t>
      </w:r>
      <w:r w:rsidR="00E47564">
        <w:rPr>
          <w:rFonts w:ascii="Goudy Old Style ATT" w:hAnsi="Goudy Old Style ATT"/>
        </w:rPr>
        <w:t xml:space="preserve">vyhlášky č. 11/2013, </w:t>
      </w:r>
      <w:r w:rsidR="00DE6C2D">
        <w:rPr>
          <w:rFonts w:ascii="Goudy Old Style ATT" w:hAnsi="Goudy Old Style ATT"/>
        </w:rPr>
        <w:t>vyhlášky č. 7/2014</w:t>
      </w:r>
      <w:r w:rsidR="00666F5C">
        <w:rPr>
          <w:rFonts w:ascii="Goudy Old Style ATT" w:hAnsi="Goudy Old Style ATT"/>
        </w:rPr>
        <w:t>,</w:t>
      </w:r>
      <w:r w:rsidR="00E47564">
        <w:rPr>
          <w:rFonts w:ascii="Goudy Old Style ATT" w:hAnsi="Goudy Old Style ATT"/>
        </w:rPr>
        <w:t xml:space="preserve"> vyhlášky č. 4/2015</w:t>
      </w:r>
      <w:r w:rsidR="00E45DB4">
        <w:rPr>
          <w:rFonts w:ascii="Goudy Old Style ATT" w:hAnsi="Goudy Old Style ATT"/>
        </w:rPr>
        <w:t>,</w:t>
      </w:r>
      <w:r w:rsidR="00234136">
        <w:rPr>
          <w:rFonts w:ascii="Goudy Old Style ATT" w:hAnsi="Goudy Old Style ATT"/>
        </w:rPr>
        <w:t xml:space="preserve"> vyhlášky č. 9/2015,</w:t>
      </w:r>
      <w:r w:rsidR="00E45DB4">
        <w:rPr>
          <w:rFonts w:ascii="Goudy Old Style ATT" w:hAnsi="Goudy Old Style ATT"/>
        </w:rPr>
        <w:t xml:space="preserve"> vyhlášky č. 5/2016 </w:t>
      </w:r>
      <w:r w:rsidR="00234136">
        <w:rPr>
          <w:rFonts w:ascii="Goudy Old Style ATT" w:hAnsi="Goudy Old Style ATT"/>
        </w:rPr>
        <w:t xml:space="preserve">a vyhlášky č. 5/2017 </w:t>
      </w:r>
      <w:r w:rsidRPr="009C0D3F">
        <w:rPr>
          <w:rFonts w:ascii="Goudy Old Style ATT" w:hAnsi="Goudy Old Style ATT"/>
        </w:rPr>
        <w:t>se mění a doplňuje takto:</w:t>
      </w:r>
    </w:p>
    <w:p w:rsidR="007E5B1A" w:rsidRDefault="007E5B1A">
      <w:pPr>
        <w:pStyle w:val="Zkladntext2"/>
        <w:spacing w:after="120"/>
        <w:rPr>
          <w:rFonts w:ascii="Goudy Old Style ATT" w:hAnsi="Goudy Old Style ATT"/>
        </w:rPr>
      </w:pPr>
    </w:p>
    <w:p w:rsidR="009959FD" w:rsidRDefault="009959FD" w:rsidP="00666F5C">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čl. </w:t>
      </w:r>
      <w:r w:rsidR="00234136">
        <w:rPr>
          <w:rFonts w:ascii="Goudy Old Style ATT" w:hAnsi="Goudy Old Style ATT"/>
          <w:color w:val="000000"/>
        </w:rPr>
        <w:t>28 odst. 3</w:t>
      </w:r>
      <w:r>
        <w:rPr>
          <w:rFonts w:ascii="Goudy Old Style ATT" w:hAnsi="Goudy Old Style ATT"/>
          <w:color w:val="000000"/>
        </w:rPr>
        <w:t xml:space="preserve"> </w:t>
      </w:r>
      <w:r w:rsidR="00234136">
        <w:rPr>
          <w:rFonts w:ascii="Goudy Old Style ATT" w:hAnsi="Goudy Old Style ATT"/>
          <w:color w:val="000000"/>
        </w:rPr>
        <w:t>písmeno b), včetně poznámky pod čarou č. 14a, zní</w:t>
      </w:r>
      <w:r>
        <w:rPr>
          <w:rFonts w:ascii="Goudy Old Style ATT" w:hAnsi="Goudy Old Style ATT"/>
          <w:color w:val="000000"/>
        </w:rPr>
        <w:t>:</w:t>
      </w:r>
    </w:p>
    <w:p w:rsidR="00234136" w:rsidRDefault="009959FD" w:rsidP="00234136">
      <w:pPr>
        <w:spacing w:after="80" w:line="276" w:lineRule="auto"/>
        <w:ind w:left="709" w:hanging="425"/>
        <w:jc w:val="both"/>
        <w:rPr>
          <w:rFonts w:ascii="Goudy Old Style ATT" w:hAnsi="Goudy Old Style ATT"/>
          <w:kern w:val="20"/>
        </w:rPr>
      </w:pPr>
      <w:r>
        <w:rPr>
          <w:rFonts w:ascii="Goudy Old Style ATT" w:hAnsi="Goudy Old Style ATT"/>
          <w:color w:val="000000"/>
        </w:rPr>
        <w:t>„</w:t>
      </w:r>
      <w:r w:rsidR="00234136">
        <w:rPr>
          <w:rFonts w:ascii="Goudy Old Style ATT" w:hAnsi="Goudy Old Style ATT"/>
          <w:color w:val="000000"/>
        </w:rPr>
        <w:t xml:space="preserve">b) </w:t>
      </w:r>
      <w:r w:rsidR="00234136">
        <w:rPr>
          <w:rFonts w:ascii="Goudy Old Style ATT" w:hAnsi="Goudy Old Style ATT"/>
          <w:kern w:val="20"/>
        </w:rPr>
        <w:t>schodkové jen v případě, že schodek bude možno uhradit finančními prostředky z minulých let nebo smluvně zabezpečenou zápůjčkou, úvěrem, návratnou finanční výpomocí nebo výnosem z prodeje vlastních dluhopisů; p</w:t>
      </w:r>
      <w:r w:rsidR="00234136" w:rsidRPr="001718A5">
        <w:rPr>
          <w:rFonts w:ascii="Goudy Old Style ATT" w:hAnsi="Goudy Old Style ATT"/>
          <w:kern w:val="20"/>
        </w:rPr>
        <w:t>ři uplatnění</w:t>
      </w:r>
      <w:r w:rsidR="00234136">
        <w:rPr>
          <w:rFonts w:ascii="Goudy Old Style ATT" w:hAnsi="Goudy Old Style ATT"/>
          <w:kern w:val="20"/>
        </w:rPr>
        <w:t xml:space="preserve"> opatření podle </w:t>
      </w:r>
      <w:r w:rsidR="00234136" w:rsidRPr="001718A5">
        <w:rPr>
          <w:rFonts w:ascii="Goudy Old Style ATT" w:hAnsi="Goudy Old Style ATT"/>
          <w:kern w:val="20"/>
        </w:rPr>
        <w:t>zákona o pravidlech rozpočtové odpovědnosti mohou být schváleny jako schodkové jen v případ</w:t>
      </w:r>
      <w:r w:rsidR="00234136">
        <w:rPr>
          <w:rFonts w:ascii="Goudy Old Style ATT" w:hAnsi="Goudy Old Style ATT"/>
          <w:kern w:val="20"/>
        </w:rPr>
        <w:t>ech</w:t>
      </w:r>
      <w:r w:rsidR="00234136" w:rsidRPr="001718A5">
        <w:rPr>
          <w:rFonts w:ascii="Goudy Old Style ATT" w:hAnsi="Goudy Old Style ATT"/>
          <w:kern w:val="20"/>
        </w:rPr>
        <w:t xml:space="preserve"> stanoven</w:t>
      </w:r>
      <w:r w:rsidR="00234136">
        <w:rPr>
          <w:rFonts w:ascii="Goudy Old Style ATT" w:hAnsi="Goudy Old Style ATT"/>
          <w:kern w:val="20"/>
        </w:rPr>
        <w:t>ých</w:t>
      </w:r>
      <w:r w:rsidR="00234136" w:rsidRPr="001718A5">
        <w:rPr>
          <w:rFonts w:ascii="Goudy Old Style ATT" w:hAnsi="Goudy Old Style ATT"/>
          <w:kern w:val="20"/>
        </w:rPr>
        <w:t xml:space="preserve"> zákonem</w:t>
      </w:r>
      <w:r w:rsidR="00234136">
        <w:rPr>
          <w:rFonts w:ascii="Goudy Old Style ATT" w:hAnsi="Goudy Old Style ATT"/>
          <w:kern w:val="20"/>
          <w:vertAlign w:val="superscript"/>
        </w:rPr>
        <w:t>14a</w:t>
      </w:r>
      <w:r w:rsidR="00234136">
        <w:rPr>
          <w:rFonts w:ascii="Goudy Old Style ATT" w:hAnsi="Goudy Old Style ATT"/>
          <w:kern w:val="20"/>
        </w:rPr>
        <w:t>.</w:t>
      </w:r>
    </w:p>
    <w:p w:rsidR="00234136" w:rsidRPr="00234136" w:rsidRDefault="00234136" w:rsidP="00234136">
      <w:pPr>
        <w:spacing w:after="80" w:line="276" w:lineRule="auto"/>
        <w:ind w:left="709" w:hanging="425"/>
        <w:jc w:val="both"/>
        <w:rPr>
          <w:rFonts w:ascii="Goudy Old Style ATT" w:hAnsi="Goudy Old Style ATT"/>
          <w:kern w:val="20"/>
        </w:rPr>
      </w:pPr>
      <w:r w:rsidRPr="00234136">
        <w:rPr>
          <w:rFonts w:ascii="Goudy Old Style ATT" w:hAnsi="Goudy Old Style ATT"/>
          <w:kern w:val="20"/>
          <w:vertAlign w:val="superscript"/>
        </w:rPr>
        <w:t>14a</w:t>
      </w:r>
      <w:r>
        <w:rPr>
          <w:rFonts w:ascii="Goudy Old Style ATT" w:hAnsi="Goudy Old Style ATT"/>
          <w:kern w:val="20"/>
        </w:rPr>
        <w:t xml:space="preserve"> </w:t>
      </w:r>
      <w:r>
        <w:t>§ 4 odst. 6 zákona č. 250/2000 Sb., o rozpočtových pravidlech územních rozpočtů.“.</w:t>
      </w:r>
    </w:p>
    <w:p w:rsidR="009959FD" w:rsidRDefault="009959FD" w:rsidP="009959FD">
      <w:pPr>
        <w:spacing w:after="120"/>
        <w:ind w:left="425"/>
        <w:jc w:val="both"/>
        <w:rPr>
          <w:rFonts w:ascii="Goudy Old Style ATT" w:hAnsi="Goudy Old Style ATT"/>
          <w:color w:val="000000"/>
        </w:rPr>
      </w:pPr>
    </w:p>
    <w:p w:rsidR="00234136" w:rsidRDefault="009959FD" w:rsidP="00234136">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čl. </w:t>
      </w:r>
      <w:r w:rsidR="00234136">
        <w:rPr>
          <w:rFonts w:ascii="Goudy Old Style ATT" w:hAnsi="Goudy Old Style ATT"/>
          <w:color w:val="000000"/>
        </w:rPr>
        <w:t>28a odst. 4 se v první větě slovo „města“ nahrazuje slovy „celoměstských orgánů“.</w:t>
      </w:r>
    </w:p>
    <w:p w:rsidR="009959FD" w:rsidRDefault="00234136" w:rsidP="00234136">
      <w:pPr>
        <w:spacing w:after="120"/>
        <w:ind w:left="425"/>
        <w:jc w:val="both"/>
        <w:rPr>
          <w:rFonts w:ascii="Goudy Old Style ATT" w:hAnsi="Goudy Old Style ATT"/>
          <w:color w:val="000000"/>
        </w:rPr>
      </w:pPr>
      <w:r>
        <w:rPr>
          <w:rFonts w:ascii="Goudy Old Style ATT" w:hAnsi="Goudy Old Style ATT"/>
          <w:color w:val="000000"/>
        </w:rPr>
        <w:t xml:space="preserve"> </w:t>
      </w:r>
    </w:p>
    <w:p w:rsidR="00344FEC" w:rsidRDefault="00344FEC" w:rsidP="00D803F9">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Článek 28d</w:t>
      </w:r>
      <w:r w:rsidR="00135059">
        <w:rPr>
          <w:rFonts w:ascii="Goudy Old Style ATT" w:hAnsi="Goudy Old Style ATT"/>
          <w:color w:val="000000"/>
        </w:rPr>
        <w:t>,</w:t>
      </w:r>
      <w:r>
        <w:rPr>
          <w:rFonts w:ascii="Goudy Old Style ATT" w:hAnsi="Goudy Old Style ATT"/>
          <w:color w:val="000000"/>
        </w:rPr>
        <w:t xml:space="preserve"> včetně nadpisu</w:t>
      </w:r>
      <w:r w:rsidR="00135059">
        <w:rPr>
          <w:rFonts w:ascii="Goudy Old Style ATT" w:hAnsi="Goudy Old Style ATT"/>
          <w:color w:val="000000"/>
        </w:rPr>
        <w:t>,</w:t>
      </w:r>
      <w:r>
        <w:rPr>
          <w:rFonts w:ascii="Goudy Old Style ATT" w:hAnsi="Goudy Old Style ATT"/>
          <w:color w:val="000000"/>
        </w:rPr>
        <w:t xml:space="preserve"> zní:</w:t>
      </w:r>
    </w:p>
    <w:p w:rsidR="00344FEC" w:rsidRDefault="00344FEC" w:rsidP="00344FEC">
      <w:pPr>
        <w:pStyle w:val="Odstavecseseznamem"/>
        <w:rPr>
          <w:rFonts w:ascii="Goudy Old Style ATT" w:hAnsi="Goudy Old Style ATT"/>
          <w:color w:val="000000"/>
        </w:rPr>
      </w:pPr>
    </w:p>
    <w:p w:rsidR="00344FEC" w:rsidRPr="00AA0FA8" w:rsidRDefault="00344FEC" w:rsidP="00344FEC">
      <w:pPr>
        <w:pStyle w:val="Nadpis3"/>
        <w:spacing w:before="0"/>
        <w:rPr>
          <w:rFonts w:ascii="Goudy Old Style ATT" w:hAnsi="Goudy Old Style ATT"/>
          <w:spacing w:val="4"/>
        </w:rPr>
      </w:pPr>
      <w:bookmarkStart w:id="2" w:name="_Toc260377854"/>
      <w:bookmarkStart w:id="3" w:name="_Toc311184756"/>
      <w:bookmarkStart w:id="4" w:name="_Toc341167294"/>
      <w:bookmarkStart w:id="5" w:name="_Toc374690307"/>
      <w:r>
        <w:rPr>
          <w:rFonts w:ascii="Goudy Old Style ATT" w:hAnsi="Goudy Old Style ATT"/>
          <w:b w:val="0"/>
          <w:spacing w:val="4"/>
        </w:rPr>
        <w:t>„</w:t>
      </w:r>
      <w:r w:rsidRPr="00AA0FA8">
        <w:rPr>
          <w:rFonts w:ascii="Goudy Old Style ATT" w:hAnsi="Goudy Old Style ATT"/>
          <w:spacing w:val="4"/>
        </w:rPr>
        <w:t>Článek 28d</w:t>
      </w:r>
      <w:r w:rsidRPr="00AA0FA8">
        <w:rPr>
          <w:rFonts w:ascii="Goudy Old Style ATT" w:hAnsi="Goudy Old Style ATT"/>
          <w:spacing w:val="4"/>
        </w:rPr>
        <w:br/>
        <w:t>Schvalování rozpočtu</w:t>
      </w:r>
      <w:bookmarkEnd w:id="2"/>
      <w:bookmarkEnd w:id="3"/>
      <w:bookmarkEnd w:id="4"/>
      <w:bookmarkEnd w:id="5"/>
    </w:p>
    <w:p w:rsidR="00344FEC" w:rsidRDefault="00344FEC" w:rsidP="00E767C1">
      <w:pPr>
        <w:widowControl w:val="0"/>
        <w:numPr>
          <w:ilvl w:val="0"/>
          <w:numId w:val="2"/>
        </w:numPr>
        <w:spacing w:after="80" w:line="276" w:lineRule="auto"/>
        <w:jc w:val="both"/>
        <w:rPr>
          <w:rFonts w:ascii="Goudy Old Style ATT" w:hAnsi="Goudy Old Style ATT"/>
          <w:color w:val="000000"/>
        </w:rPr>
      </w:pPr>
      <w:r>
        <w:rPr>
          <w:rFonts w:ascii="Goudy Old Style ATT" w:hAnsi="Goudy Old Style ATT"/>
          <w:color w:val="000000"/>
        </w:rPr>
        <w:t>Zastupitelstvo města schvaluje finanční vztah rozpočtu města k městským obvodům, rozpočet celoměstských orgánů a ukazatele souhrnné bilance rozpočtu města.</w:t>
      </w:r>
    </w:p>
    <w:p w:rsidR="00344FEC" w:rsidRPr="00411771" w:rsidRDefault="00344FEC" w:rsidP="00E767C1">
      <w:pPr>
        <w:widowControl w:val="0"/>
        <w:numPr>
          <w:ilvl w:val="0"/>
          <w:numId w:val="2"/>
        </w:numPr>
        <w:spacing w:after="80" w:line="276" w:lineRule="auto"/>
        <w:jc w:val="both"/>
        <w:rPr>
          <w:rFonts w:ascii="Goudy Old Style ATT" w:hAnsi="Goudy Old Style ATT"/>
          <w:color w:val="000000"/>
        </w:rPr>
      </w:pPr>
      <w:r>
        <w:rPr>
          <w:rFonts w:ascii="Goudy Old Style ATT" w:hAnsi="Goudy Old Style ATT"/>
          <w:color w:val="000000"/>
        </w:rPr>
        <w:t xml:space="preserve">Finanční vztah rozpočtu města k městským obvodům </w:t>
      </w:r>
      <w:r w:rsidRPr="00411771">
        <w:rPr>
          <w:rFonts w:ascii="Goudy Old Style ATT" w:hAnsi="Goudy Old Style ATT"/>
          <w:color w:val="000000"/>
        </w:rPr>
        <w:t xml:space="preserve">dle čl. 28a odst. </w:t>
      </w:r>
      <w:r>
        <w:rPr>
          <w:rFonts w:ascii="Goudy Old Style ATT" w:hAnsi="Goudy Old Style ATT"/>
          <w:color w:val="000000"/>
        </w:rPr>
        <w:t xml:space="preserve">7 </w:t>
      </w:r>
      <w:r w:rsidRPr="00411771">
        <w:rPr>
          <w:rFonts w:ascii="Goudy Old Style ATT" w:hAnsi="Goudy Old Style ATT"/>
          <w:color w:val="000000"/>
        </w:rPr>
        <w:t>Statutu</w:t>
      </w:r>
      <w:r>
        <w:rPr>
          <w:rFonts w:ascii="Goudy Old Style ATT" w:hAnsi="Goudy Old Style ATT"/>
          <w:color w:val="000000"/>
        </w:rPr>
        <w:t>, včetně případných dalších příjmů rozpočtu městského obvodu, které na základě Statutu podléhají schválení celoměstských orgánů, schvaluje zastupitelstvo měs</w:t>
      </w:r>
      <w:r w:rsidR="00E35DD2">
        <w:rPr>
          <w:rFonts w:ascii="Goudy Old Style ATT" w:hAnsi="Goudy Old Style ATT"/>
          <w:color w:val="000000"/>
        </w:rPr>
        <w:t>ta nejpozději do 20. </w:t>
      </w:r>
      <w:r>
        <w:rPr>
          <w:rFonts w:ascii="Goudy Old Style ATT" w:hAnsi="Goudy Old Style ATT"/>
          <w:color w:val="000000"/>
        </w:rPr>
        <w:t xml:space="preserve">11. kalendářního roku. Pokud není finanční vztah rozpočtu města k městským obvodům </w:t>
      </w:r>
      <w:r>
        <w:rPr>
          <w:rFonts w:ascii="Goudy Old Style ATT" w:hAnsi="Goudy Old Style ATT"/>
          <w:color w:val="000000"/>
        </w:rPr>
        <w:lastRenderedPageBreak/>
        <w:t>schválen do 20. 11. příslušného kalendářního roku, použije se</w:t>
      </w:r>
      <w:r w:rsidRPr="00411771">
        <w:rPr>
          <w:rFonts w:ascii="Goudy Old Style ATT" w:hAnsi="Goudy Old Style ATT"/>
          <w:color w:val="000000"/>
        </w:rPr>
        <w:t xml:space="preserve"> pro účely přípravy rozpočtu města finanční vztah rozpočtu města k městským obvodům</w:t>
      </w:r>
      <w:r>
        <w:rPr>
          <w:rFonts w:ascii="Goudy Old Style ATT" w:hAnsi="Goudy Old Style ATT"/>
          <w:color w:val="000000"/>
        </w:rPr>
        <w:t xml:space="preserve"> doporučený zastupitelstvu města radou města</w:t>
      </w:r>
      <w:r w:rsidR="00E35DD2">
        <w:rPr>
          <w:rFonts w:ascii="Goudy Old Style ATT" w:hAnsi="Goudy Old Style ATT"/>
          <w:color w:val="000000"/>
        </w:rPr>
        <w:t>.</w:t>
      </w:r>
    </w:p>
    <w:p w:rsidR="00344FEC" w:rsidRDefault="00344FEC" w:rsidP="00E767C1">
      <w:pPr>
        <w:widowControl w:val="0"/>
        <w:numPr>
          <w:ilvl w:val="0"/>
          <w:numId w:val="2"/>
        </w:numPr>
        <w:spacing w:after="80" w:line="276" w:lineRule="auto"/>
        <w:jc w:val="both"/>
        <w:rPr>
          <w:rFonts w:ascii="Goudy Old Style ATT" w:hAnsi="Goudy Old Style ATT"/>
          <w:color w:val="000000"/>
        </w:rPr>
      </w:pPr>
      <w:r>
        <w:rPr>
          <w:rFonts w:ascii="Goudy Old Style ATT" w:hAnsi="Goudy Old Style ATT"/>
          <w:color w:val="000000"/>
        </w:rPr>
        <w:t>Zastupitelstvo městského obvodu schvaluje rozpočet městského obvodu. Rozpočet městského obvodu vychází z vlastních příjmů stanovených Statutem. Rozpočet městského obvodu schvaluje zastupitelstvo městského obvodu před</w:t>
      </w:r>
      <w:r w:rsidR="00E35DD2">
        <w:rPr>
          <w:rFonts w:ascii="Goudy Old Style ATT" w:hAnsi="Goudy Old Style ATT"/>
          <w:color w:val="000000"/>
        </w:rPr>
        <w:t xml:space="preserve"> projednáváním rozpočtu města v </w:t>
      </w:r>
      <w:r>
        <w:rPr>
          <w:rFonts w:ascii="Goudy Old Style ATT" w:hAnsi="Goudy Old Style ATT"/>
          <w:color w:val="000000"/>
        </w:rPr>
        <w:t>zastupitelstvu města, je-li zastupitelstvem města schválen finanční vztah rozpočtu města k městským obvodům. Není-li do doby projednávání rozpočtu města v zastupitelstvu města schválen finanční vztah, pak městský obvod postupuje v souladu s čl. 28d odst. 4 a</w:t>
      </w:r>
      <w:r w:rsidR="00E35DD2">
        <w:rPr>
          <w:rFonts w:ascii="Goudy Old Style ATT" w:hAnsi="Goudy Old Style ATT"/>
          <w:color w:val="000000"/>
        </w:rPr>
        <w:t> </w:t>
      </w:r>
      <w:r>
        <w:rPr>
          <w:rFonts w:ascii="Goudy Old Style ATT" w:hAnsi="Goudy Old Style ATT"/>
          <w:color w:val="000000"/>
        </w:rPr>
        <w:t>zastupitelstvo městského obvodu schvaluje rozpočet městského obvodu až po schválení finančního vztahu v zastupitelstvu města</w:t>
      </w:r>
      <w:r w:rsidR="00E35DD2">
        <w:rPr>
          <w:rFonts w:ascii="Goudy Old Style ATT" w:hAnsi="Goudy Old Style ATT"/>
          <w:color w:val="000000"/>
        </w:rPr>
        <w:t>.</w:t>
      </w:r>
    </w:p>
    <w:p w:rsidR="00344FEC" w:rsidRDefault="00344FEC" w:rsidP="00E767C1">
      <w:pPr>
        <w:widowControl w:val="0"/>
        <w:numPr>
          <w:ilvl w:val="0"/>
          <w:numId w:val="2"/>
        </w:numPr>
        <w:spacing w:after="80" w:line="276" w:lineRule="auto"/>
        <w:jc w:val="both"/>
        <w:rPr>
          <w:rFonts w:ascii="Goudy Old Style ATT" w:hAnsi="Goudy Old Style ATT"/>
          <w:color w:val="000000"/>
        </w:rPr>
      </w:pPr>
      <w:r>
        <w:rPr>
          <w:rFonts w:ascii="Goudy Old Style ATT" w:hAnsi="Goudy Old Style ATT"/>
          <w:color w:val="000000"/>
        </w:rPr>
        <w:t>Pokud není před projednáváním rozpočtu v zastupitelstvu města schválen rozpočet městského obvodu, pak je za platnou verzi považována poslední varianta rozpočtu podepsaná starostou městského obvodu, kterou městský obvod předal jako podklad pro sestavení souhrnné bilance rozpočtu města. Ukazatele souhrnné bilance rozpočtu města schválené zastupitelstvem města, jsou pro zastupitelstvo městského obvodu závazné.</w:t>
      </w:r>
    </w:p>
    <w:p w:rsidR="00344FEC" w:rsidRDefault="00344FEC" w:rsidP="00E767C1">
      <w:pPr>
        <w:keepNext/>
        <w:numPr>
          <w:ilvl w:val="0"/>
          <w:numId w:val="2"/>
        </w:numPr>
        <w:spacing w:after="80" w:line="276" w:lineRule="auto"/>
        <w:jc w:val="both"/>
        <w:rPr>
          <w:rFonts w:ascii="Goudy Old Style ATT" w:hAnsi="Goudy Old Style ATT"/>
          <w:color w:val="000000"/>
        </w:rPr>
      </w:pPr>
      <w:r>
        <w:rPr>
          <w:rFonts w:ascii="Goudy Old Style ATT" w:hAnsi="Goudy Old Style ATT"/>
          <w:color w:val="000000"/>
        </w:rPr>
        <w:t>Ukazatele souhrnné bilance tvoří:</w:t>
      </w:r>
    </w:p>
    <w:p w:rsidR="00344FEC" w:rsidRDefault="00344FEC" w:rsidP="00E767C1">
      <w:pPr>
        <w:numPr>
          <w:ilvl w:val="1"/>
          <w:numId w:val="5"/>
        </w:numPr>
        <w:spacing w:after="80" w:line="276" w:lineRule="auto"/>
        <w:jc w:val="both"/>
        <w:rPr>
          <w:rFonts w:ascii="Goudy Old Style ATT" w:hAnsi="Goudy Old Style ATT"/>
          <w:kern w:val="20"/>
        </w:rPr>
      </w:pPr>
      <w:r>
        <w:rPr>
          <w:rFonts w:ascii="Goudy Old Style ATT" w:hAnsi="Goudy Old Style ATT"/>
          <w:kern w:val="20"/>
        </w:rPr>
        <w:t>příjmy v daném roce</w:t>
      </w:r>
    </w:p>
    <w:p w:rsidR="00344FEC" w:rsidRDefault="00344FEC" w:rsidP="00E767C1">
      <w:pPr>
        <w:numPr>
          <w:ilvl w:val="1"/>
          <w:numId w:val="5"/>
        </w:numPr>
        <w:spacing w:after="80" w:line="276" w:lineRule="auto"/>
        <w:jc w:val="both"/>
        <w:rPr>
          <w:rFonts w:ascii="Goudy Old Style ATT" w:hAnsi="Goudy Old Style ATT"/>
          <w:kern w:val="20"/>
        </w:rPr>
      </w:pPr>
      <w:r>
        <w:rPr>
          <w:rFonts w:ascii="Goudy Old Style ATT" w:hAnsi="Goudy Old Style ATT"/>
          <w:kern w:val="20"/>
        </w:rPr>
        <w:t>výdaje v daném roce</w:t>
      </w:r>
    </w:p>
    <w:p w:rsidR="00344FEC" w:rsidRDefault="00344FEC" w:rsidP="00E767C1">
      <w:pPr>
        <w:numPr>
          <w:ilvl w:val="1"/>
          <w:numId w:val="5"/>
        </w:numPr>
        <w:spacing w:after="80" w:line="276" w:lineRule="auto"/>
        <w:jc w:val="both"/>
        <w:rPr>
          <w:rFonts w:ascii="Goudy Old Style ATT" w:hAnsi="Goudy Old Style ATT"/>
          <w:kern w:val="20"/>
        </w:rPr>
      </w:pPr>
      <w:r>
        <w:rPr>
          <w:rFonts w:ascii="Goudy Old Style ATT" w:hAnsi="Goudy Old Style ATT"/>
          <w:kern w:val="20"/>
        </w:rPr>
        <w:t>financování</w:t>
      </w:r>
    </w:p>
    <w:p w:rsidR="00344FEC" w:rsidRDefault="00344FEC" w:rsidP="00E767C1">
      <w:pPr>
        <w:keepNext/>
        <w:numPr>
          <w:ilvl w:val="0"/>
          <w:numId w:val="3"/>
        </w:numPr>
        <w:spacing w:after="80" w:line="276" w:lineRule="auto"/>
        <w:jc w:val="both"/>
        <w:rPr>
          <w:rFonts w:ascii="Goudy Old Style ATT" w:hAnsi="Goudy Old Style ATT"/>
          <w:color w:val="000000"/>
        </w:rPr>
      </w:pPr>
      <w:r>
        <w:rPr>
          <w:rFonts w:ascii="Goudy Old Style ATT" w:hAnsi="Goudy Old Style ATT"/>
          <w:color w:val="000000"/>
        </w:rPr>
        <w:t>Zastupitelstvu města musí být rozpočet předložen ve skladbě, z níž jsou jasně patrné závazné ukazatele pro</w:t>
      </w:r>
    </w:p>
    <w:p w:rsidR="00344FEC" w:rsidRDefault="00344FEC" w:rsidP="00E767C1">
      <w:pPr>
        <w:numPr>
          <w:ilvl w:val="1"/>
          <w:numId w:val="6"/>
        </w:numPr>
        <w:spacing w:after="80" w:line="276" w:lineRule="auto"/>
        <w:jc w:val="both"/>
        <w:rPr>
          <w:rFonts w:ascii="Goudy Old Style ATT" w:hAnsi="Goudy Old Style ATT"/>
          <w:kern w:val="20"/>
        </w:rPr>
      </w:pPr>
      <w:r>
        <w:rPr>
          <w:rFonts w:ascii="Goudy Old Style ATT" w:hAnsi="Goudy Old Style ATT"/>
          <w:kern w:val="20"/>
        </w:rPr>
        <w:t>radu města při hospodaření v průběhu roku;</w:t>
      </w:r>
    </w:p>
    <w:p w:rsidR="00344FEC" w:rsidRDefault="00344FEC" w:rsidP="00E767C1">
      <w:pPr>
        <w:numPr>
          <w:ilvl w:val="1"/>
          <w:numId w:val="6"/>
        </w:numPr>
        <w:spacing w:after="80" w:line="276" w:lineRule="auto"/>
        <w:jc w:val="both"/>
        <w:rPr>
          <w:rFonts w:ascii="Goudy Old Style ATT" w:hAnsi="Goudy Old Style ATT"/>
          <w:kern w:val="20"/>
        </w:rPr>
      </w:pPr>
      <w:r>
        <w:rPr>
          <w:rFonts w:ascii="Goudy Old Style ATT" w:hAnsi="Goudy Old Style ATT"/>
          <w:kern w:val="20"/>
        </w:rPr>
        <w:t>městské obvody pro sestavení rozpočtu (</w:t>
      </w:r>
      <w:r>
        <w:rPr>
          <w:rFonts w:ascii="Goudy Old Style ATT" w:hAnsi="Goudy Old Style ATT"/>
          <w:i/>
          <w:iCs/>
          <w:kern w:val="20"/>
        </w:rPr>
        <w:t>souhrnný finanční vztah rozpočtu města a městských obvodů</w:t>
      </w:r>
      <w:r>
        <w:rPr>
          <w:rFonts w:ascii="Goudy Old Style ATT" w:hAnsi="Goudy Old Style ATT"/>
          <w:kern w:val="20"/>
        </w:rPr>
        <w:t xml:space="preserve">) </w:t>
      </w:r>
    </w:p>
    <w:p w:rsidR="00344FEC" w:rsidRDefault="00344FEC" w:rsidP="00E767C1">
      <w:pPr>
        <w:numPr>
          <w:ilvl w:val="1"/>
          <w:numId w:val="6"/>
        </w:numPr>
        <w:spacing w:after="80" w:line="276" w:lineRule="auto"/>
        <w:jc w:val="both"/>
        <w:rPr>
          <w:rFonts w:ascii="Goudy Old Style ATT" w:hAnsi="Goudy Old Style ATT"/>
          <w:kern w:val="20"/>
        </w:rPr>
      </w:pPr>
      <w:r>
        <w:rPr>
          <w:rFonts w:ascii="Goudy Old Style ATT" w:hAnsi="Goudy Old Style ATT"/>
          <w:kern w:val="20"/>
        </w:rPr>
        <w:t xml:space="preserve">hospodaření příspěvkových organizací a jiných právnických osob městem zřízených </w:t>
      </w:r>
    </w:p>
    <w:p w:rsidR="00344FEC" w:rsidRDefault="00344FEC" w:rsidP="00E767C1">
      <w:pPr>
        <w:widowControl w:val="0"/>
        <w:numPr>
          <w:ilvl w:val="1"/>
          <w:numId w:val="6"/>
        </w:numPr>
        <w:spacing w:after="80" w:line="276" w:lineRule="auto"/>
        <w:jc w:val="both"/>
        <w:rPr>
          <w:rFonts w:ascii="Goudy Old Style ATT" w:hAnsi="Goudy Old Style ATT"/>
          <w:kern w:val="20"/>
        </w:rPr>
      </w:pPr>
      <w:r>
        <w:rPr>
          <w:rFonts w:ascii="Goudy Old Style ATT" w:hAnsi="Goudy Old Style ATT"/>
          <w:kern w:val="20"/>
        </w:rPr>
        <w:t xml:space="preserve">právnické a fyzické osoby, které mají být příjemci </w:t>
      </w:r>
      <w:r w:rsidRPr="00411771">
        <w:rPr>
          <w:rFonts w:ascii="Goudy Old Style ATT" w:hAnsi="Goudy Old Style ATT"/>
          <w:kern w:val="20"/>
        </w:rPr>
        <w:t>dotací, příspěvků a</w:t>
      </w:r>
      <w:r>
        <w:rPr>
          <w:rFonts w:ascii="Goudy Old Style ATT" w:hAnsi="Goudy Old Style ATT"/>
          <w:kern w:val="20"/>
        </w:rPr>
        <w:t xml:space="preserve"> darů z rozpočtu celoměstských orgánů.</w:t>
      </w:r>
    </w:p>
    <w:p w:rsidR="00344FEC" w:rsidRDefault="00344FEC" w:rsidP="00E767C1">
      <w:pPr>
        <w:widowControl w:val="0"/>
        <w:numPr>
          <w:ilvl w:val="0"/>
          <w:numId w:val="4"/>
        </w:numPr>
        <w:spacing w:after="80" w:line="276" w:lineRule="auto"/>
        <w:jc w:val="both"/>
        <w:rPr>
          <w:rFonts w:ascii="Goudy Old Style ATT" w:hAnsi="Goudy Old Style ATT"/>
          <w:color w:val="000000"/>
        </w:rPr>
      </w:pPr>
      <w:r>
        <w:rPr>
          <w:rFonts w:ascii="Goudy Old Style ATT" w:hAnsi="Goudy Old Style ATT"/>
          <w:color w:val="000000"/>
        </w:rPr>
        <w:t>Po schválení rozpočtu jsou jednotliví správci rozpočtu povinni provést rozpis závazných ukazatelů dle podrobné rozpočtové skladby a správci rozpočtu, kteří plní zřizovatelské funkce též zajistí rozpis předepsaných limitů na jimi řízené organizace a organizační složky. Rozpis závazných ukazatelů a limity pro správce rozpočtu celoměstských orgánů a jednotlivé složky finančního vztahu k městským obvodům zajišťuje příslušný odbor magistrátu.</w:t>
      </w:r>
      <w:r w:rsidR="00E35DD2">
        <w:rPr>
          <w:rFonts w:ascii="Goudy Old Style ATT" w:hAnsi="Goudy Old Style ATT"/>
          <w:color w:val="000000"/>
        </w:rPr>
        <w:t>“.</w:t>
      </w:r>
    </w:p>
    <w:p w:rsidR="00344FEC" w:rsidRPr="00E35DD2" w:rsidRDefault="00344FEC" w:rsidP="00E35DD2">
      <w:pPr>
        <w:rPr>
          <w:rFonts w:ascii="Goudy Old Style ATT" w:hAnsi="Goudy Old Style ATT"/>
          <w:color w:val="000000"/>
        </w:rPr>
      </w:pPr>
    </w:p>
    <w:p w:rsidR="00E35DD2" w:rsidRDefault="00A54C2E" w:rsidP="00D803F9">
      <w:pPr>
        <w:numPr>
          <w:ilvl w:val="0"/>
          <w:numId w:val="1"/>
        </w:numPr>
        <w:spacing w:after="120"/>
        <w:ind w:firstLine="425"/>
        <w:jc w:val="both"/>
        <w:rPr>
          <w:rFonts w:ascii="Goudy Old Style ATT" w:hAnsi="Goudy Old Style ATT"/>
          <w:color w:val="000000"/>
        </w:rPr>
      </w:pPr>
      <w:r w:rsidRPr="006A0612">
        <w:rPr>
          <w:rFonts w:ascii="Goudy Old Style ATT" w:hAnsi="Goudy Old Style ATT"/>
          <w:color w:val="000000"/>
        </w:rPr>
        <w:t> </w:t>
      </w:r>
      <w:r w:rsidR="00E35DD2">
        <w:rPr>
          <w:rFonts w:ascii="Goudy Old Style ATT" w:hAnsi="Goudy Old Style ATT"/>
          <w:color w:val="000000"/>
        </w:rPr>
        <w:t>Článek 28e</w:t>
      </w:r>
      <w:r w:rsidR="00135059">
        <w:rPr>
          <w:rFonts w:ascii="Goudy Old Style ATT" w:hAnsi="Goudy Old Style ATT"/>
          <w:color w:val="000000"/>
        </w:rPr>
        <w:t>,</w:t>
      </w:r>
      <w:r w:rsidR="00E35DD2">
        <w:rPr>
          <w:rFonts w:ascii="Goudy Old Style ATT" w:hAnsi="Goudy Old Style ATT"/>
          <w:color w:val="000000"/>
        </w:rPr>
        <w:t xml:space="preserve"> včetně nadpisu </w:t>
      </w:r>
      <w:r w:rsidR="00135059">
        <w:rPr>
          <w:rFonts w:ascii="Goudy Old Style ATT" w:hAnsi="Goudy Old Style ATT"/>
          <w:color w:val="000000"/>
        </w:rPr>
        <w:t xml:space="preserve">a včetně poznámky pod čarou č. 14b, </w:t>
      </w:r>
      <w:r w:rsidR="00E35DD2">
        <w:rPr>
          <w:rFonts w:ascii="Goudy Old Style ATT" w:hAnsi="Goudy Old Style ATT"/>
          <w:color w:val="000000"/>
        </w:rPr>
        <w:t>zní:</w:t>
      </w:r>
    </w:p>
    <w:p w:rsidR="00E35DD2" w:rsidRPr="00AA0FA8" w:rsidRDefault="00E35DD2" w:rsidP="00E35DD2">
      <w:pPr>
        <w:pStyle w:val="Nadpis3"/>
        <w:spacing w:before="0"/>
        <w:rPr>
          <w:rFonts w:ascii="Goudy Old Style ATT" w:hAnsi="Goudy Old Style ATT"/>
          <w:spacing w:val="4"/>
        </w:rPr>
      </w:pPr>
      <w:bookmarkStart w:id="6" w:name="_Toc260377855"/>
      <w:bookmarkStart w:id="7" w:name="_Toc311184757"/>
      <w:bookmarkStart w:id="8" w:name="_Toc341167295"/>
      <w:bookmarkStart w:id="9" w:name="_Toc374690308"/>
      <w:r>
        <w:rPr>
          <w:rFonts w:ascii="Goudy Old Style ATT" w:hAnsi="Goudy Old Style ATT"/>
          <w:b w:val="0"/>
          <w:spacing w:val="4"/>
        </w:rPr>
        <w:t>„</w:t>
      </w:r>
      <w:r w:rsidRPr="00AA0FA8">
        <w:rPr>
          <w:rFonts w:ascii="Goudy Old Style ATT" w:hAnsi="Goudy Old Style ATT"/>
          <w:spacing w:val="4"/>
        </w:rPr>
        <w:t>Článek 28e</w:t>
      </w:r>
      <w:r w:rsidRPr="00AA0FA8">
        <w:rPr>
          <w:rFonts w:ascii="Goudy Old Style ATT" w:hAnsi="Goudy Old Style ATT"/>
          <w:spacing w:val="4"/>
        </w:rPr>
        <w:br/>
        <w:t>Rozpočtové provizorium</w:t>
      </w:r>
      <w:bookmarkEnd w:id="6"/>
      <w:bookmarkEnd w:id="7"/>
      <w:bookmarkEnd w:id="8"/>
      <w:bookmarkEnd w:id="9"/>
    </w:p>
    <w:p w:rsidR="00E35DD2" w:rsidRPr="00411771" w:rsidRDefault="00E35DD2" w:rsidP="00E767C1">
      <w:pPr>
        <w:widowControl w:val="0"/>
        <w:numPr>
          <w:ilvl w:val="0"/>
          <w:numId w:val="7"/>
        </w:numPr>
        <w:spacing w:after="80" w:line="276" w:lineRule="auto"/>
        <w:jc w:val="both"/>
        <w:rPr>
          <w:rFonts w:ascii="Goudy Old Style ATT" w:hAnsi="Goudy Old Style ATT"/>
          <w:color w:val="000000"/>
        </w:rPr>
      </w:pPr>
      <w:r>
        <w:rPr>
          <w:rFonts w:ascii="Goudy Old Style ATT" w:hAnsi="Goudy Old Style ATT"/>
          <w:color w:val="000000"/>
        </w:rPr>
        <w:t>Není-li rozpočet celoměstských orgánů schválen do 1. ledna kalendářního roku, hospodaří celoměstské orgány do doby schválení rozpočtu v rozpočtovém provizoriu.</w:t>
      </w:r>
      <w:r w:rsidRPr="001C5E57">
        <w:rPr>
          <w:rFonts w:ascii="Goudy Old Style ATT" w:hAnsi="Goudy Old Style ATT"/>
          <w:color w:val="000000"/>
        </w:rPr>
        <w:t xml:space="preserve"> </w:t>
      </w:r>
      <w:r>
        <w:rPr>
          <w:rFonts w:ascii="Goudy Old Style ATT" w:hAnsi="Goudy Old Style ATT"/>
          <w:color w:val="000000"/>
        </w:rPr>
        <w:t xml:space="preserve">Pravidla rozpočtového provizoria pro hospodaření celoměstských orgánů schvaluje </w:t>
      </w:r>
      <w:r>
        <w:rPr>
          <w:rFonts w:ascii="Goudy Old Style ATT" w:hAnsi="Goudy Old Style ATT"/>
          <w:color w:val="000000"/>
        </w:rPr>
        <w:lastRenderedPageBreak/>
        <w:t>zastupitelstvo města. V období rozpočtového provizoria musí celoměstské orgány zabezpečit zejména plnění povinností stanovených zákonem a dalších závazků, jejichž neuhrazením by město mohlo následně utrpět finanční škodu.</w:t>
      </w:r>
    </w:p>
    <w:p w:rsidR="00E35DD2" w:rsidRDefault="00E35DD2" w:rsidP="00E767C1">
      <w:pPr>
        <w:widowControl w:val="0"/>
        <w:numPr>
          <w:ilvl w:val="0"/>
          <w:numId w:val="7"/>
        </w:numPr>
        <w:spacing w:after="80" w:line="276" w:lineRule="auto"/>
        <w:jc w:val="both"/>
        <w:rPr>
          <w:rFonts w:ascii="Goudy Old Style ATT" w:hAnsi="Goudy Old Style ATT"/>
          <w:color w:val="000000"/>
        </w:rPr>
      </w:pPr>
      <w:r>
        <w:rPr>
          <w:rFonts w:ascii="Goudy Old Style ATT" w:hAnsi="Goudy Old Style ATT"/>
          <w:color w:val="000000"/>
        </w:rPr>
        <w:t>Neschválení rozpočtu celoměstských orgánů zastupitelstvem města není překážkou pro schválení rozpočtu městského obvodu, je-li schválen zastupitelstvem města finanční vztah rozpočtu města k městským obvodům.</w:t>
      </w:r>
    </w:p>
    <w:p w:rsidR="00E35DD2" w:rsidRPr="00E90E5A" w:rsidRDefault="00E35DD2" w:rsidP="00E767C1">
      <w:pPr>
        <w:widowControl w:val="0"/>
        <w:numPr>
          <w:ilvl w:val="0"/>
          <w:numId w:val="7"/>
        </w:numPr>
        <w:spacing w:after="80" w:line="276" w:lineRule="auto"/>
        <w:jc w:val="both"/>
        <w:rPr>
          <w:rFonts w:ascii="Goudy Old Style ATT" w:hAnsi="Goudy Old Style ATT"/>
          <w:color w:val="000000"/>
        </w:rPr>
      </w:pPr>
      <w:r>
        <w:rPr>
          <w:rFonts w:ascii="Goudy Old Style ATT" w:hAnsi="Goudy Old Style ATT"/>
          <w:color w:val="000000"/>
        </w:rPr>
        <w:t xml:space="preserve">Není-li rozpočet městského obvodu schválen do 1. ledna kalendářního roku, </w:t>
      </w:r>
      <w:r w:rsidRPr="003076FC">
        <w:rPr>
          <w:rFonts w:ascii="Goudy Old Style ATT" w:hAnsi="Goudy Old Style ATT"/>
          <w:color w:val="000000"/>
        </w:rPr>
        <w:t xml:space="preserve">hospodaří městský obvod </w:t>
      </w:r>
      <w:r>
        <w:rPr>
          <w:rFonts w:ascii="Goudy Old Style ATT" w:hAnsi="Goudy Old Style ATT"/>
          <w:color w:val="000000"/>
        </w:rPr>
        <w:t xml:space="preserve">do doby schválení rozpočtu </w:t>
      </w:r>
      <w:r w:rsidRPr="003076FC">
        <w:rPr>
          <w:rFonts w:ascii="Goudy Old Style ATT" w:hAnsi="Goudy Old Style ATT"/>
          <w:color w:val="000000"/>
        </w:rPr>
        <w:t>v rozpočtovém provizoriu</w:t>
      </w:r>
      <w:r>
        <w:rPr>
          <w:rFonts w:ascii="Goudy Old Style ATT" w:hAnsi="Goudy Old Style ATT"/>
          <w:color w:val="000000"/>
        </w:rPr>
        <w:t>. Pravidla rozpočtového provizoria pro hospodaření městského obvodu schvaluje zastupitelstvo městského obvodu. V období rozpočtového provizoria musí městský obvod zabezpečit zejména plnění povinností stanovených zákonem a dalších závazků, jejichž neuhrazením by město mohlo následně utrpět finanční škodu.</w:t>
      </w:r>
    </w:p>
    <w:p w:rsidR="00E35DD2" w:rsidRDefault="00E35DD2" w:rsidP="00E767C1">
      <w:pPr>
        <w:widowControl w:val="0"/>
        <w:numPr>
          <w:ilvl w:val="0"/>
          <w:numId w:val="7"/>
        </w:numPr>
        <w:spacing w:after="80" w:line="276" w:lineRule="auto"/>
        <w:jc w:val="both"/>
        <w:rPr>
          <w:rFonts w:ascii="Goudy Old Style ATT" w:hAnsi="Goudy Old Style ATT"/>
          <w:color w:val="000000"/>
        </w:rPr>
      </w:pPr>
      <w:r>
        <w:rPr>
          <w:rFonts w:ascii="Goudy Old Style ATT" w:hAnsi="Goudy Old Style ATT"/>
          <w:color w:val="000000"/>
        </w:rPr>
        <w:t>Pokud městský obvod neschválí pravidla rozpočtového provizoria, hospodaří dle pravidel rozpočtového provizoria schválených v zastupitelstvu města.</w:t>
      </w:r>
    </w:p>
    <w:p w:rsidR="00E35DD2" w:rsidRPr="003076FC" w:rsidRDefault="00E35DD2" w:rsidP="00E767C1">
      <w:pPr>
        <w:widowControl w:val="0"/>
        <w:numPr>
          <w:ilvl w:val="0"/>
          <w:numId w:val="7"/>
        </w:numPr>
        <w:spacing w:after="80" w:line="276" w:lineRule="auto"/>
        <w:jc w:val="both"/>
        <w:rPr>
          <w:rFonts w:ascii="Goudy Old Style ATT" w:hAnsi="Goudy Old Style ATT"/>
          <w:color w:val="000000"/>
        </w:rPr>
      </w:pPr>
      <w:r>
        <w:rPr>
          <w:rFonts w:ascii="Goudy Old Style ATT" w:hAnsi="Goudy Old Style ATT"/>
          <w:color w:val="000000"/>
        </w:rPr>
        <w:t>V případě uplatnění opatření podle zákona o pravidlech rozpočtové odpovědnosti jsou pravidla rozpočtového provizoria stanovena v mezích příslušného zákona.</w:t>
      </w:r>
      <w:r w:rsidR="00135059">
        <w:rPr>
          <w:rFonts w:ascii="Goudy Old Style ATT" w:hAnsi="Goudy Old Style ATT"/>
          <w:color w:val="000000"/>
          <w:vertAlign w:val="superscript"/>
        </w:rPr>
        <w:t>14b</w:t>
      </w:r>
    </w:p>
    <w:p w:rsidR="00A54C2E" w:rsidRPr="006A0612" w:rsidRDefault="00135059" w:rsidP="00E35DD2">
      <w:pPr>
        <w:spacing w:after="120"/>
        <w:ind w:left="425"/>
        <w:jc w:val="both"/>
        <w:rPr>
          <w:rFonts w:ascii="Goudy Old Style ATT" w:hAnsi="Goudy Old Style ATT"/>
          <w:color w:val="000000"/>
        </w:rPr>
      </w:pPr>
      <w:r>
        <w:rPr>
          <w:rFonts w:ascii="Goudy Old Style ATT" w:hAnsi="Goudy Old Style ATT"/>
          <w:color w:val="000000"/>
          <w:vertAlign w:val="superscript"/>
        </w:rPr>
        <w:t>14b</w:t>
      </w:r>
      <w:r>
        <w:rPr>
          <w:rFonts w:ascii="Goudy Old Style ATT" w:hAnsi="Goudy Old Style ATT"/>
          <w:color w:val="000000"/>
        </w:rPr>
        <w:t xml:space="preserve"> </w:t>
      </w:r>
      <w:r>
        <w:t>§ 13 odst. 4 zákona č. 250/2000 Sb., o rozpočtových pravidlech územních rozpočtů.“.</w:t>
      </w:r>
      <w:r w:rsidR="00A54C2E" w:rsidRPr="006A0612">
        <w:rPr>
          <w:rFonts w:ascii="Goudy Old Style ATT" w:hAnsi="Goudy Old Style ATT"/>
          <w:color w:val="000000"/>
        </w:rPr>
        <w:t xml:space="preserve"> </w:t>
      </w:r>
    </w:p>
    <w:p w:rsidR="00A54C2E" w:rsidRPr="006A0612" w:rsidRDefault="00A54C2E" w:rsidP="00A54C2E">
      <w:pPr>
        <w:spacing w:after="120"/>
        <w:ind w:left="425"/>
        <w:jc w:val="both"/>
        <w:rPr>
          <w:rFonts w:ascii="Goudy Old Style ATT" w:hAnsi="Goudy Old Style ATT"/>
          <w:color w:val="000000"/>
        </w:rPr>
      </w:pPr>
    </w:p>
    <w:p w:rsidR="00135059" w:rsidRDefault="00135059" w:rsidP="00D803F9">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28f odst. 7 se dosavadní poznámka pod čarou č. 14a označuje jako poznámka pod čarou č. 14c.</w:t>
      </w:r>
    </w:p>
    <w:p w:rsidR="00135059" w:rsidRDefault="00135059" w:rsidP="00135059">
      <w:pPr>
        <w:spacing w:after="120"/>
        <w:ind w:left="425"/>
        <w:jc w:val="both"/>
        <w:rPr>
          <w:rFonts w:ascii="Goudy Old Style ATT" w:hAnsi="Goudy Old Style ATT"/>
          <w:color w:val="000000"/>
        </w:rPr>
      </w:pPr>
    </w:p>
    <w:p w:rsidR="002C5DEB" w:rsidRPr="00E01F99" w:rsidRDefault="00A54C2E" w:rsidP="00135059">
      <w:pPr>
        <w:numPr>
          <w:ilvl w:val="0"/>
          <w:numId w:val="1"/>
        </w:numPr>
        <w:spacing w:after="120"/>
        <w:ind w:firstLine="425"/>
        <w:jc w:val="both"/>
        <w:rPr>
          <w:rFonts w:ascii="Goudy Old Style ATT" w:hAnsi="Goudy Old Style ATT"/>
        </w:rPr>
      </w:pPr>
      <w:r w:rsidRPr="006A0612">
        <w:rPr>
          <w:rFonts w:ascii="Goudy Old Style ATT" w:hAnsi="Goudy Old Style ATT"/>
          <w:color w:val="000000"/>
        </w:rPr>
        <w:t xml:space="preserve">V čl. </w:t>
      </w:r>
      <w:r w:rsidR="00135059">
        <w:rPr>
          <w:rFonts w:ascii="Goudy Old Style ATT" w:hAnsi="Goudy Old Style ATT"/>
          <w:color w:val="000000"/>
        </w:rPr>
        <w:t>30 odst. 19 se tečka na konci odstavce nahrazuje čárkou, za kterou se vkládá text ve znění „nerozhodne-li zastupitelstvo města jinak.“.</w:t>
      </w:r>
    </w:p>
    <w:p w:rsidR="00E01F99" w:rsidRDefault="00E01F99" w:rsidP="00E01F99">
      <w:pPr>
        <w:pStyle w:val="Odstavecseseznamem"/>
        <w:rPr>
          <w:rFonts w:ascii="Goudy Old Style ATT" w:hAnsi="Goudy Old Style ATT"/>
        </w:rPr>
      </w:pPr>
    </w:p>
    <w:p w:rsidR="00E01F99" w:rsidRDefault="00E01F99" w:rsidP="00135059">
      <w:pPr>
        <w:numPr>
          <w:ilvl w:val="0"/>
          <w:numId w:val="1"/>
        </w:numPr>
        <w:spacing w:after="120"/>
        <w:ind w:firstLine="425"/>
        <w:jc w:val="both"/>
        <w:rPr>
          <w:rFonts w:ascii="Goudy Old Style ATT" w:hAnsi="Goudy Old Style ATT"/>
        </w:rPr>
      </w:pPr>
      <w:r>
        <w:rPr>
          <w:rFonts w:ascii="Goudy Old Style ATT" w:hAnsi="Goudy Old Style ATT"/>
        </w:rPr>
        <w:t>V příloze č. 3, čl. 3 se na konec článku vkládá nový bod 38. ve znění:</w:t>
      </w:r>
    </w:p>
    <w:p w:rsidR="00E01F99" w:rsidRPr="005900AE" w:rsidRDefault="00E01F99" w:rsidP="00E01F99">
      <w:pPr>
        <w:spacing w:after="120"/>
        <w:ind w:left="851" w:hanging="567"/>
        <w:jc w:val="both"/>
        <w:rPr>
          <w:rFonts w:ascii="Goudy Old Style ATT" w:hAnsi="Goudy Old Style ATT"/>
        </w:rPr>
      </w:pPr>
      <w:r>
        <w:rPr>
          <w:rFonts w:ascii="Goudy Old Style ATT" w:hAnsi="Goudy Old Style ATT"/>
        </w:rPr>
        <w:t xml:space="preserve">„38. </w:t>
      </w:r>
      <w:r>
        <w:rPr>
          <w:rFonts w:ascii="Goudy Old Style ATT" w:hAnsi="Goudy Old Style ATT"/>
        </w:rPr>
        <w:tab/>
        <w:t xml:space="preserve">Pozemky p. č. 2043/170, p. č. 2043/137, p. č. 2043/132, p. č. 2043/153 a p. č. 2043/203 k. </w:t>
      </w:r>
      <w:proofErr w:type="spellStart"/>
      <w:r>
        <w:rPr>
          <w:rFonts w:ascii="Goudy Old Style ATT" w:hAnsi="Goudy Old Style ATT"/>
        </w:rPr>
        <w:t>ú.</w:t>
      </w:r>
      <w:proofErr w:type="spellEnd"/>
      <w:r>
        <w:rPr>
          <w:rFonts w:ascii="Goudy Old Style ATT" w:hAnsi="Goudy Old Style ATT"/>
        </w:rPr>
        <w:t xml:space="preserve"> </w:t>
      </w:r>
      <w:proofErr w:type="spellStart"/>
      <w:r>
        <w:rPr>
          <w:rFonts w:ascii="Goudy Old Style ATT" w:hAnsi="Goudy Old Style ATT"/>
        </w:rPr>
        <w:t>Skvrňany</w:t>
      </w:r>
      <w:proofErr w:type="spellEnd"/>
      <w:r>
        <w:rPr>
          <w:rFonts w:ascii="Goudy Old Style ATT" w:hAnsi="Goudy Old Style ATT"/>
        </w:rPr>
        <w:t xml:space="preserve">.“. </w:t>
      </w:r>
    </w:p>
    <w:p w:rsidR="00CF565B" w:rsidRDefault="00CF565B">
      <w:pPr>
        <w:pStyle w:val="Zkladntext2"/>
        <w:keepNext/>
        <w:jc w:val="center"/>
        <w:rPr>
          <w:rFonts w:ascii="Goudy Old Style ATT" w:hAnsi="Goudy Old Style ATT"/>
          <w:b/>
        </w:rPr>
      </w:pPr>
    </w:p>
    <w:p w:rsidR="00762129" w:rsidRDefault="00762129">
      <w:pPr>
        <w:pStyle w:val="Zkladntext2"/>
        <w:keepNext/>
        <w:jc w:val="center"/>
        <w:rPr>
          <w:rFonts w:ascii="Goudy Old Style ATT" w:hAnsi="Goudy Old Style ATT"/>
          <w:b/>
        </w:rPr>
      </w:pPr>
      <w:r>
        <w:rPr>
          <w:rFonts w:ascii="Goudy Old Style ATT" w:hAnsi="Goudy Old Style ATT"/>
          <w:b/>
        </w:rPr>
        <w:t>Článek 2</w:t>
      </w:r>
    </w:p>
    <w:p w:rsidR="00762129" w:rsidRDefault="00762129">
      <w:pPr>
        <w:pStyle w:val="Zkladntext2"/>
        <w:keepNext/>
        <w:spacing w:after="120"/>
        <w:jc w:val="center"/>
        <w:rPr>
          <w:rFonts w:ascii="Goudy Old Style ATT" w:hAnsi="Goudy Old Style ATT"/>
          <w:b/>
        </w:rPr>
      </w:pPr>
      <w:r>
        <w:rPr>
          <w:rFonts w:ascii="Goudy Old Style ATT" w:hAnsi="Goudy Old Style ATT"/>
          <w:b/>
        </w:rPr>
        <w:t>Přechodná a závěrečná ustanovení</w:t>
      </w:r>
    </w:p>
    <w:p w:rsidR="000C6BCF" w:rsidRDefault="007E5B1A">
      <w:pPr>
        <w:pStyle w:val="Zkladntext2"/>
        <w:spacing w:after="120"/>
        <w:rPr>
          <w:rFonts w:ascii="Goudy Old Style ATT" w:hAnsi="Goudy Old Style ATT"/>
        </w:rPr>
      </w:pPr>
      <w:r>
        <w:rPr>
          <w:rFonts w:ascii="Goudy Old Style ATT" w:hAnsi="Goudy Old Style ATT"/>
        </w:rPr>
        <w:tab/>
        <w:t xml:space="preserve">(1) </w:t>
      </w:r>
      <w:r w:rsidR="00762129">
        <w:rPr>
          <w:rFonts w:ascii="Goudy Old Style ATT" w:hAnsi="Goudy Old Style ATT"/>
        </w:rPr>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027FAD" w:rsidRPr="00027FAD" w:rsidRDefault="007E5B1A" w:rsidP="00027FAD">
      <w:pPr>
        <w:pStyle w:val="Zkladntext2"/>
        <w:spacing w:after="120"/>
        <w:rPr>
          <w:rFonts w:ascii="Goudy Old Style ATT" w:hAnsi="Goudy Old Style ATT"/>
        </w:rPr>
      </w:pPr>
      <w:r>
        <w:rPr>
          <w:rFonts w:ascii="Goudy Old Style ATT" w:hAnsi="Goudy Old Style ATT"/>
        </w:rPr>
        <w:tab/>
        <w:t xml:space="preserve">(2) </w:t>
      </w:r>
      <w:r w:rsidR="00027FAD" w:rsidRPr="00027FAD">
        <w:rPr>
          <w:rFonts w:ascii="Goudy Old Style ATT" w:hAnsi="Goudy Old Style ATT"/>
        </w:rPr>
        <w:t xml:space="preserve">Při hospodaření se svěřeným majetkem, pokud </w:t>
      </w:r>
      <w:r w:rsidR="00027FAD">
        <w:rPr>
          <w:rFonts w:ascii="Goudy Old Style ATT" w:hAnsi="Goudy Old Style ATT"/>
        </w:rPr>
        <w:t xml:space="preserve">bylo </w:t>
      </w:r>
      <w:r w:rsidR="00027FAD" w:rsidRPr="00027FAD">
        <w:rPr>
          <w:rFonts w:ascii="Goudy Old Style ATT" w:hAnsi="Goudy Old Style ATT"/>
        </w:rPr>
        <w:t xml:space="preserve">rozhodnutí týkající se svěřeného majetku přijato příslušným orgánem před účinností </w:t>
      </w:r>
      <w:r w:rsidR="00027FAD">
        <w:rPr>
          <w:rFonts w:ascii="Goudy Old Style ATT" w:hAnsi="Goudy Old Style ATT"/>
        </w:rPr>
        <w:t>této obecně závazné vyhlášky</w:t>
      </w:r>
      <w:r w:rsidR="00027FAD" w:rsidRPr="00027FAD">
        <w:rPr>
          <w:rFonts w:ascii="Goudy Old Style ATT" w:hAnsi="Goudy Old Style ATT"/>
        </w:rPr>
        <w:t>,</w:t>
      </w:r>
      <w:r w:rsidR="00027FAD">
        <w:rPr>
          <w:rFonts w:ascii="Goudy Old Style ATT" w:hAnsi="Goudy Old Style ATT"/>
        </w:rPr>
        <w:t xml:space="preserve"> aniž by byla rozhodnutím vytvořená vůle města vyjádřena navenek, vyjádří navenek vůli města orgán příslušný k tomu </w:t>
      </w:r>
      <w:r w:rsidR="00027FAD" w:rsidRPr="00027FAD">
        <w:rPr>
          <w:rFonts w:ascii="Goudy Old Style ATT" w:hAnsi="Goudy Old Style ATT"/>
        </w:rPr>
        <w:t>podle dosa</w:t>
      </w:r>
      <w:r w:rsidR="00027FAD">
        <w:rPr>
          <w:rFonts w:ascii="Goudy Old Style ATT" w:hAnsi="Goudy Old Style ATT"/>
        </w:rPr>
        <w:t>vadního znění Statutu města</w:t>
      </w:r>
      <w:r w:rsidR="00027FAD" w:rsidRPr="00027FAD">
        <w:rPr>
          <w:rFonts w:ascii="Goudy Old Style ATT" w:hAnsi="Goudy Old Style ATT"/>
        </w:rPr>
        <w:t xml:space="preserve">. </w:t>
      </w:r>
    </w:p>
    <w:p w:rsidR="001C521C" w:rsidRDefault="00027FAD" w:rsidP="00027FAD">
      <w:pPr>
        <w:pStyle w:val="Zkladntext2"/>
        <w:spacing w:after="120"/>
        <w:ind w:firstLine="708"/>
        <w:rPr>
          <w:rFonts w:ascii="Goudy Old Style ATT" w:hAnsi="Goudy Old Style ATT"/>
        </w:rPr>
      </w:pPr>
      <w:r>
        <w:rPr>
          <w:rFonts w:ascii="Goudy Old Style ATT" w:hAnsi="Goudy Old Style ATT"/>
        </w:rPr>
        <w:t xml:space="preserve">(3) </w:t>
      </w:r>
      <w:r w:rsidR="00762129">
        <w:rPr>
          <w:rFonts w:ascii="Goudy Old Style ATT" w:hAnsi="Goudy Old Style ATT"/>
        </w:rPr>
        <w:t>Správní, daňová a jiná řízení v přenesené působnosti orgánů města, zahájená před účinností této obecně závazné vyhlášky, se dokončí podle dosavadních předpisů, nestanoví-li zvláštní zákon jinak.</w:t>
      </w:r>
    </w:p>
    <w:p w:rsidR="00762129" w:rsidRDefault="00027FAD" w:rsidP="00027FAD">
      <w:pPr>
        <w:pStyle w:val="Zkladntext2"/>
        <w:spacing w:after="120"/>
        <w:ind w:firstLine="708"/>
        <w:rPr>
          <w:rFonts w:ascii="Goudy Old Style ATT" w:hAnsi="Goudy Old Style ATT"/>
        </w:rPr>
      </w:pPr>
      <w:r>
        <w:rPr>
          <w:rFonts w:ascii="Goudy Old Style ATT" w:hAnsi="Goudy Old Style ATT"/>
        </w:rPr>
        <w:lastRenderedPageBreak/>
        <w:t>(4</w:t>
      </w:r>
      <w:r w:rsidR="002C5DEB">
        <w:rPr>
          <w:rFonts w:ascii="Goudy Old Style ATT" w:hAnsi="Goudy Old Style ATT"/>
        </w:rPr>
        <w:t xml:space="preserve">) </w:t>
      </w:r>
      <w:r w:rsidR="00762129">
        <w:rPr>
          <w:rFonts w:ascii="Goudy Old Style ATT" w:hAnsi="Goudy Old Style ATT"/>
        </w:rPr>
        <w:t>Tato vyhláška na</w:t>
      </w:r>
      <w:r w:rsidR="001C521C">
        <w:rPr>
          <w:rFonts w:ascii="Goudy Old Style ATT" w:hAnsi="Goudy Old Style ATT"/>
        </w:rPr>
        <w:t xml:space="preserve">bývá účinnosti dne 1. </w:t>
      </w:r>
      <w:r w:rsidR="00135059">
        <w:rPr>
          <w:rFonts w:ascii="Goudy Old Style ATT" w:hAnsi="Goudy Old Style ATT"/>
        </w:rPr>
        <w:t>srpna</w:t>
      </w:r>
      <w:r w:rsidR="001C521C">
        <w:rPr>
          <w:rFonts w:ascii="Goudy Old Style ATT" w:hAnsi="Goudy Old Style ATT"/>
        </w:rPr>
        <w:t xml:space="preserve"> 2018</w:t>
      </w:r>
      <w:r w:rsidR="006A134C">
        <w:rPr>
          <w:rFonts w:ascii="Goudy Old Style ATT" w:hAnsi="Goudy Old Style ATT"/>
        </w:rPr>
        <w:t>.</w:t>
      </w:r>
    </w:p>
    <w:p w:rsidR="001C42D2" w:rsidRPr="00DE6F42" w:rsidRDefault="001C42D2">
      <w:pPr>
        <w:pStyle w:val="Zkladntext2"/>
        <w:spacing w:after="120"/>
        <w:rPr>
          <w:rFonts w:ascii="Goudy Old Style ATT" w:hAnsi="Goudy Old Style ATT"/>
        </w:rPr>
      </w:pPr>
    </w:p>
    <w:p w:rsidR="00DE6F42" w:rsidRDefault="00DE6F42">
      <w:pPr>
        <w:pStyle w:val="Zkladntext2"/>
        <w:tabs>
          <w:tab w:val="center" w:pos="2268"/>
          <w:tab w:val="center" w:pos="6804"/>
        </w:tabs>
        <w:rPr>
          <w:rFonts w:ascii="Goudy Old Style ATT" w:hAnsi="Goudy Old Style ATT"/>
          <w:b/>
        </w:rPr>
      </w:pPr>
    </w:p>
    <w:p w:rsidR="00762129" w:rsidRPr="00DC0B54" w:rsidRDefault="0039212F">
      <w:pPr>
        <w:pStyle w:val="Zkladntext2"/>
        <w:tabs>
          <w:tab w:val="center" w:pos="2268"/>
          <w:tab w:val="center" w:pos="6804"/>
        </w:tabs>
        <w:rPr>
          <w:rFonts w:ascii="Goudy Old Style ATT" w:hAnsi="Goudy Old Style ATT"/>
        </w:rPr>
      </w:pPr>
      <w:r>
        <w:rPr>
          <w:rFonts w:ascii="Goudy Old Style ATT" w:hAnsi="Goudy Old Style ATT"/>
          <w:b/>
        </w:rPr>
        <w:tab/>
      </w:r>
      <w:r w:rsidR="006A134C" w:rsidRPr="00DC0B54">
        <w:rPr>
          <w:rFonts w:ascii="Goudy Old Style ATT" w:hAnsi="Goudy Old Style ATT"/>
        </w:rPr>
        <w:t>………………………..</w:t>
      </w:r>
      <w:r w:rsidR="006A134C" w:rsidRPr="00DC0B54">
        <w:rPr>
          <w:rFonts w:ascii="Goudy Old Style ATT" w:hAnsi="Goudy Old Style ATT"/>
        </w:rPr>
        <w:tab/>
        <w:t>………………………….</w:t>
      </w:r>
    </w:p>
    <w:p w:rsidR="00DC0B54" w:rsidRPr="00DC0B54" w:rsidRDefault="00DC0B54">
      <w:pPr>
        <w:pStyle w:val="Zkladntext2"/>
        <w:tabs>
          <w:tab w:val="center" w:pos="2268"/>
          <w:tab w:val="center" w:pos="6804"/>
        </w:tabs>
        <w:spacing w:after="120"/>
        <w:rPr>
          <w:rFonts w:ascii="Goudy Old Style ATT" w:hAnsi="Goudy Old Style ATT"/>
        </w:rPr>
      </w:pPr>
      <w:r>
        <w:rPr>
          <w:rFonts w:ascii="Goudy Old Style ATT" w:hAnsi="Goudy Old Style ATT"/>
          <w:i/>
        </w:rPr>
        <w:t xml:space="preserve"> </w:t>
      </w:r>
      <w:r>
        <w:rPr>
          <w:rFonts w:ascii="Goudy Old Style ATT" w:hAnsi="Goudy Old Style ATT"/>
          <w:i/>
        </w:rPr>
        <w:tab/>
      </w:r>
      <w:r w:rsidRPr="00DC0B54">
        <w:rPr>
          <w:rFonts w:ascii="Goudy Old Style ATT" w:hAnsi="Goudy Old Style ATT"/>
        </w:rPr>
        <w:t xml:space="preserve">Martin Zrzavecký </w:t>
      </w:r>
      <w:r w:rsidRPr="00DC0B54">
        <w:rPr>
          <w:rFonts w:ascii="Goudy Old Style ATT" w:hAnsi="Goudy Old Style ATT"/>
        </w:rPr>
        <w:tab/>
        <w:t>Mgr. Martin Baxa</w:t>
      </w:r>
      <w:r w:rsidR="00A332DD" w:rsidRPr="00DC0B54">
        <w:rPr>
          <w:rFonts w:ascii="Goudy Old Style ATT" w:hAnsi="Goudy Old Style ATT"/>
        </w:rPr>
        <w:tab/>
      </w:r>
    </w:p>
    <w:p w:rsidR="00EC3645" w:rsidRDefault="00DC0B54">
      <w:pPr>
        <w:pStyle w:val="Zkladntext2"/>
        <w:tabs>
          <w:tab w:val="center" w:pos="2268"/>
          <w:tab w:val="center" w:pos="6804"/>
        </w:tabs>
        <w:spacing w:after="120"/>
        <w:rPr>
          <w:rFonts w:ascii="Goudy Old Style ATT" w:hAnsi="Goudy Old Style ATT"/>
          <w:i/>
        </w:rPr>
      </w:pPr>
      <w:r>
        <w:rPr>
          <w:rFonts w:ascii="Goudy Old Style ATT" w:hAnsi="Goudy Old Style ATT"/>
          <w:i/>
        </w:rPr>
        <w:tab/>
      </w:r>
      <w:r w:rsidR="00A332DD">
        <w:rPr>
          <w:rFonts w:ascii="Goudy Old Style ATT" w:hAnsi="Goudy Old Style ATT"/>
          <w:i/>
        </w:rPr>
        <w:t>primátor města</w:t>
      </w:r>
      <w:r w:rsidR="00A332DD">
        <w:rPr>
          <w:rFonts w:ascii="Goudy Old Style ATT" w:hAnsi="Goudy Old Style ATT"/>
          <w:i/>
        </w:rPr>
        <w:tab/>
      </w:r>
      <w:r w:rsidR="00A4372D">
        <w:rPr>
          <w:rFonts w:ascii="Goudy Old Style ATT" w:hAnsi="Goudy Old Style ATT"/>
          <w:i/>
        </w:rPr>
        <w:t xml:space="preserve">1. </w:t>
      </w:r>
      <w:r w:rsidR="00A332DD">
        <w:rPr>
          <w:rFonts w:ascii="Goudy Old Style ATT" w:hAnsi="Goudy Old Style ATT"/>
          <w:i/>
        </w:rPr>
        <w:t>náměst</w:t>
      </w:r>
      <w:r w:rsidR="00D202F4">
        <w:rPr>
          <w:rFonts w:ascii="Goudy Old Style ATT" w:hAnsi="Goudy Old Style ATT"/>
          <w:i/>
        </w:rPr>
        <w:t>e</w:t>
      </w:r>
      <w:r w:rsidR="00762129">
        <w:rPr>
          <w:rFonts w:ascii="Goudy Old Style ATT" w:hAnsi="Goudy Old Style ATT"/>
          <w:i/>
        </w:rPr>
        <w:t>k primátora</w:t>
      </w:r>
    </w:p>
    <w:p w:rsidR="009959FD" w:rsidRDefault="009959FD">
      <w:pPr>
        <w:rPr>
          <w:rFonts w:ascii="Goudy Old Style ATT" w:hAnsi="Goudy Old Style ATT"/>
          <w:color w:val="000000"/>
        </w:rPr>
      </w:pPr>
    </w:p>
    <w:p w:rsidR="00B64ACD" w:rsidRDefault="00B64ACD"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Pr="003D16C2" w:rsidRDefault="003D16C2" w:rsidP="0083003F">
      <w:pPr>
        <w:rPr>
          <w:rFonts w:ascii="Goudy Old Style ATT" w:hAnsi="Goudy Old Style ATT"/>
          <w:i/>
          <w:color w:val="000000"/>
        </w:rPr>
      </w:pPr>
      <w:r>
        <w:rPr>
          <w:rFonts w:ascii="Goudy Old Style ATT" w:hAnsi="Goudy Old Style ATT"/>
          <w:i/>
          <w:color w:val="000000"/>
        </w:rPr>
        <w:t>Na úřední desce vyvěšeno dne 28.6.2018</w:t>
      </w:r>
      <w:bookmarkStart w:id="10" w:name="_GoBack"/>
      <w:bookmarkEnd w:id="10"/>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Default="00A07433" w:rsidP="0083003F">
      <w:pPr>
        <w:rPr>
          <w:rFonts w:ascii="Goudy Old Style ATT" w:hAnsi="Goudy Old Style ATT"/>
          <w:color w:val="000000"/>
        </w:rPr>
      </w:pPr>
    </w:p>
    <w:p w:rsidR="00A07433" w:rsidRPr="00A07433" w:rsidRDefault="00A07433" w:rsidP="00A07433">
      <w:pPr>
        <w:rPr>
          <w:rFonts w:ascii="Goudy Old Style ATT" w:hAnsi="Goudy Old Style ATT"/>
        </w:rPr>
      </w:pPr>
    </w:p>
    <w:sectPr w:rsidR="00A07433" w:rsidRPr="00A07433">
      <w:headerReference w:type="default" r:id="rId8"/>
      <w:footerReference w:type="default" r:id="rId9"/>
      <w:pgSz w:w="11907" w:h="16840"/>
      <w:pgMar w:top="1304" w:right="1134" w:bottom="1304" w:left="1701" w:header="567"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464" w:rsidRDefault="00161464">
      <w:r>
        <w:separator/>
      </w:r>
    </w:p>
  </w:endnote>
  <w:endnote w:type="continuationSeparator" w:id="0">
    <w:p w:rsidR="00161464" w:rsidRDefault="0016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oudy Old Style ATT">
    <w:altName w:val="Times New Roman"/>
    <w:charset w:val="00"/>
    <w:family w:val="auto"/>
    <w:pitch w:val="default"/>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433" w:rsidRDefault="00A07433" w:rsidP="00A074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464" w:rsidRDefault="00161464">
      <w:r>
        <w:separator/>
      </w:r>
    </w:p>
  </w:footnote>
  <w:footnote w:type="continuationSeparator" w:id="0">
    <w:p w:rsidR="00161464" w:rsidRDefault="00161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433" w:rsidRPr="00A07433" w:rsidRDefault="00A07433" w:rsidP="00A074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FBC"/>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B925C63"/>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81B6FF9"/>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1FB3EB1"/>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89F1802"/>
    <w:multiLevelType w:val="multilevel"/>
    <w:tmpl w:val="35403398"/>
    <w:lvl w:ilvl="0">
      <w:start w:val="7"/>
      <w:numFmt w:val="decimal"/>
      <w:suff w:val="space"/>
      <w:lvlText w:val="(%1)"/>
      <w:lvlJc w:val="left"/>
      <w:pPr>
        <w:ind w:left="0" w:firstLine="709"/>
      </w:pPr>
      <w:rPr>
        <w:rFonts w:ascii="Times New Roman" w:hAnsi="Times New Roman" w:hint="default"/>
        <w:b w:val="0"/>
        <w:i w:val="0"/>
        <w:color w:val="000000"/>
        <w:sz w:val="24"/>
      </w:rPr>
    </w:lvl>
    <w:lvl w:ilvl="1">
      <w:start w:val="1"/>
      <w:numFmt w:val="lowerLetter"/>
      <w:lvlText w:val="%2)"/>
      <w:lvlJc w:val="left"/>
      <w:pPr>
        <w:tabs>
          <w:tab w:val="num" w:pos="737"/>
        </w:tabs>
        <w:ind w:left="737" w:hanging="453"/>
      </w:pPr>
      <w:rPr>
        <w:rFonts w:ascii="Times New Roman" w:hAnsi="Times New Roman" w:hint="default"/>
        <w:b w:val="0"/>
        <w:i w:val="0"/>
        <w:color w:val="000000"/>
        <w:sz w:val="24"/>
      </w:rPr>
    </w:lvl>
    <w:lvl w:ilvl="2">
      <w:start w:val="1"/>
      <w:numFmt w:val="ordinal"/>
      <w:lvlText w:val="%3"/>
      <w:lvlJc w:val="left"/>
      <w:pPr>
        <w:tabs>
          <w:tab w:val="num" w:pos="1457"/>
        </w:tabs>
        <w:ind w:left="1247" w:hanging="510"/>
      </w:pPr>
      <w:rPr>
        <w:rFonts w:ascii="Times New Roman" w:hAnsi="Times New Roman" w:hint="default"/>
        <w:b w:val="0"/>
        <w:i w:val="0"/>
        <w:color w:val="00000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6" w15:restartNumberingAfterBreak="0">
    <w:nsid w:val="6BE27C84"/>
    <w:multiLevelType w:val="multilevel"/>
    <w:tmpl w:val="FECA3CE6"/>
    <w:lvl w:ilvl="0">
      <w:start w:val="6"/>
      <w:numFmt w:val="decimal"/>
      <w:suff w:val="space"/>
      <w:lvlText w:val="(%1)"/>
      <w:lvlJc w:val="left"/>
      <w:pPr>
        <w:ind w:left="0" w:firstLine="709"/>
      </w:pPr>
      <w:rPr>
        <w:rFonts w:ascii="Times New Roman" w:hAnsi="Times New Roman" w:hint="default"/>
        <w:b w:val="0"/>
        <w:i w:val="0"/>
        <w:color w:val="000000"/>
        <w:sz w:val="24"/>
      </w:rPr>
    </w:lvl>
    <w:lvl w:ilvl="1">
      <w:start w:val="1"/>
      <w:numFmt w:val="lowerLetter"/>
      <w:lvlText w:val="%2)"/>
      <w:lvlJc w:val="left"/>
      <w:pPr>
        <w:tabs>
          <w:tab w:val="num" w:pos="737"/>
        </w:tabs>
        <w:ind w:left="737" w:hanging="453"/>
      </w:pPr>
      <w:rPr>
        <w:rFonts w:ascii="Times New Roman" w:hAnsi="Times New Roman" w:hint="default"/>
        <w:b w:val="0"/>
        <w:i w:val="0"/>
        <w:color w:val="000000"/>
        <w:sz w:val="24"/>
      </w:rPr>
    </w:lvl>
    <w:lvl w:ilvl="2">
      <w:start w:val="1"/>
      <w:numFmt w:val="ordinal"/>
      <w:lvlText w:val="%3"/>
      <w:lvlJc w:val="left"/>
      <w:pPr>
        <w:tabs>
          <w:tab w:val="num" w:pos="1457"/>
        </w:tabs>
        <w:ind w:left="1247" w:hanging="510"/>
      </w:pPr>
      <w:rPr>
        <w:rFonts w:ascii="Times New Roman" w:hAnsi="Times New Roman" w:hint="default"/>
        <w:b w:val="0"/>
        <w:i w:val="0"/>
        <w:color w:val="00000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B"/>
    <w:rsid w:val="00006B85"/>
    <w:rsid w:val="000166D5"/>
    <w:rsid w:val="00020D4E"/>
    <w:rsid w:val="0002220D"/>
    <w:rsid w:val="00026FCD"/>
    <w:rsid w:val="00027FAD"/>
    <w:rsid w:val="0003220D"/>
    <w:rsid w:val="000356BF"/>
    <w:rsid w:val="00040FAA"/>
    <w:rsid w:val="0004411B"/>
    <w:rsid w:val="00061303"/>
    <w:rsid w:val="00061F5A"/>
    <w:rsid w:val="00062532"/>
    <w:rsid w:val="00073087"/>
    <w:rsid w:val="00080594"/>
    <w:rsid w:val="000827A5"/>
    <w:rsid w:val="000949F4"/>
    <w:rsid w:val="00095696"/>
    <w:rsid w:val="00097E74"/>
    <w:rsid w:val="000A28E6"/>
    <w:rsid w:val="000B571E"/>
    <w:rsid w:val="000C2016"/>
    <w:rsid w:val="000C45CC"/>
    <w:rsid w:val="000C6BCF"/>
    <w:rsid w:val="000C714D"/>
    <w:rsid w:val="000D18CB"/>
    <w:rsid w:val="000D5AC8"/>
    <w:rsid w:val="000D65C3"/>
    <w:rsid w:val="000E47E1"/>
    <w:rsid w:val="000E6654"/>
    <w:rsid w:val="000F3E23"/>
    <w:rsid w:val="0011435B"/>
    <w:rsid w:val="001155D5"/>
    <w:rsid w:val="00123B6B"/>
    <w:rsid w:val="00124A7C"/>
    <w:rsid w:val="001265D9"/>
    <w:rsid w:val="00126B19"/>
    <w:rsid w:val="00126FCD"/>
    <w:rsid w:val="00135059"/>
    <w:rsid w:val="00140D73"/>
    <w:rsid w:val="001505F3"/>
    <w:rsid w:val="00151F2E"/>
    <w:rsid w:val="00160FAB"/>
    <w:rsid w:val="00161267"/>
    <w:rsid w:val="00161464"/>
    <w:rsid w:val="00166B7F"/>
    <w:rsid w:val="0017079B"/>
    <w:rsid w:val="00177AE5"/>
    <w:rsid w:val="001815D9"/>
    <w:rsid w:val="001818DD"/>
    <w:rsid w:val="00192FD9"/>
    <w:rsid w:val="001A083A"/>
    <w:rsid w:val="001A2426"/>
    <w:rsid w:val="001A2D05"/>
    <w:rsid w:val="001B5B40"/>
    <w:rsid w:val="001C0B68"/>
    <w:rsid w:val="001C42D2"/>
    <w:rsid w:val="001C521C"/>
    <w:rsid w:val="001D4E35"/>
    <w:rsid w:val="001D7716"/>
    <w:rsid w:val="001E6ACF"/>
    <w:rsid w:val="001F04F3"/>
    <w:rsid w:val="001F3A54"/>
    <w:rsid w:val="00206F28"/>
    <w:rsid w:val="002110F8"/>
    <w:rsid w:val="00221E88"/>
    <w:rsid w:val="00224E64"/>
    <w:rsid w:val="00230A2E"/>
    <w:rsid w:val="002330FF"/>
    <w:rsid w:val="00234136"/>
    <w:rsid w:val="002349B8"/>
    <w:rsid w:val="00243587"/>
    <w:rsid w:val="00243E02"/>
    <w:rsid w:val="0025452D"/>
    <w:rsid w:val="00265DA8"/>
    <w:rsid w:val="00267C9C"/>
    <w:rsid w:val="00271525"/>
    <w:rsid w:val="00272EDA"/>
    <w:rsid w:val="00273854"/>
    <w:rsid w:val="00275837"/>
    <w:rsid w:val="00276550"/>
    <w:rsid w:val="00291A9A"/>
    <w:rsid w:val="002A0638"/>
    <w:rsid w:val="002A609D"/>
    <w:rsid w:val="002B23BC"/>
    <w:rsid w:val="002B5AF3"/>
    <w:rsid w:val="002B5DA3"/>
    <w:rsid w:val="002B65C9"/>
    <w:rsid w:val="002C31BE"/>
    <w:rsid w:val="002C4123"/>
    <w:rsid w:val="002C4D82"/>
    <w:rsid w:val="002C5DEB"/>
    <w:rsid w:val="002C6997"/>
    <w:rsid w:val="002D2FA2"/>
    <w:rsid w:val="002E05F3"/>
    <w:rsid w:val="002E1E6A"/>
    <w:rsid w:val="002F54E6"/>
    <w:rsid w:val="002F6EAC"/>
    <w:rsid w:val="0030016E"/>
    <w:rsid w:val="00302D61"/>
    <w:rsid w:val="00314550"/>
    <w:rsid w:val="00314B49"/>
    <w:rsid w:val="0031550C"/>
    <w:rsid w:val="0032228F"/>
    <w:rsid w:val="00334F69"/>
    <w:rsid w:val="00341C75"/>
    <w:rsid w:val="00343D4A"/>
    <w:rsid w:val="00344978"/>
    <w:rsid w:val="00344FEC"/>
    <w:rsid w:val="00353083"/>
    <w:rsid w:val="00354F15"/>
    <w:rsid w:val="003563DC"/>
    <w:rsid w:val="00380412"/>
    <w:rsid w:val="00387E03"/>
    <w:rsid w:val="003900BB"/>
    <w:rsid w:val="00390558"/>
    <w:rsid w:val="0039212F"/>
    <w:rsid w:val="0039332E"/>
    <w:rsid w:val="00397B42"/>
    <w:rsid w:val="003A038B"/>
    <w:rsid w:val="003B120E"/>
    <w:rsid w:val="003B358C"/>
    <w:rsid w:val="003B36BB"/>
    <w:rsid w:val="003B702D"/>
    <w:rsid w:val="003B78EC"/>
    <w:rsid w:val="003C02E7"/>
    <w:rsid w:val="003C4195"/>
    <w:rsid w:val="003D122B"/>
    <w:rsid w:val="003D16C2"/>
    <w:rsid w:val="003D4EEE"/>
    <w:rsid w:val="003F2CEC"/>
    <w:rsid w:val="003F3D02"/>
    <w:rsid w:val="004129A9"/>
    <w:rsid w:val="00423D00"/>
    <w:rsid w:val="00430468"/>
    <w:rsid w:val="00431F9C"/>
    <w:rsid w:val="004335F5"/>
    <w:rsid w:val="00446825"/>
    <w:rsid w:val="00446FDA"/>
    <w:rsid w:val="00457CAB"/>
    <w:rsid w:val="004652ED"/>
    <w:rsid w:val="00467F6C"/>
    <w:rsid w:val="00482B4E"/>
    <w:rsid w:val="0048310D"/>
    <w:rsid w:val="004846AD"/>
    <w:rsid w:val="004866D7"/>
    <w:rsid w:val="00494AE5"/>
    <w:rsid w:val="00494DEB"/>
    <w:rsid w:val="004B11AF"/>
    <w:rsid w:val="004B36B1"/>
    <w:rsid w:val="004C22F9"/>
    <w:rsid w:val="004C498B"/>
    <w:rsid w:val="004C6C59"/>
    <w:rsid w:val="004E27D6"/>
    <w:rsid w:val="00501286"/>
    <w:rsid w:val="00502408"/>
    <w:rsid w:val="00503927"/>
    <w:rsid w:val="005050F3"/>
    <w:rsid w:val="00512C18"/>
    <w:rsid w:val="005159BC"/>
    <w:rsid w:val="005211C6"/>
    <w:rsid w:val="00521699"/>
    <w:rsid w:val="00523DF3"/>
    <w:rsid w:val="00525AC6"/>
    <w:rsid w:val="00526055"/>
    <w:rsid w:val="00527082"/>
    <w:rsid w:val="0053401D"/>
    <w:rsid w:val="0053562A"/>
    <w:rsid w:val="00535D6B"/>
    <w:rsid w:val="00544C4A"/>
    <w:rsid w:val="00544EB3"/>
    <w:rsid w:val="00553E30"/>
    <w:rsid w:val="0056479D"/>
    <w:rsid w:val="005727DB"/>
    <w:rsid w:val="005830E8"/>
    <w:rsid w:val="00585E3D"/>
    <w:rsid w:val="005900AE"/>
    <w:rsid w:val="00590A2D"/>
    <w:rsid w:val="005922AA"/>
    <w:rsid w:val="005B3ABE"/>
    <w:rsid w:val="005B6981"/>
    <w:rsid w:val="005C3B40"/>
    <w:rsid w:val="005C4C16"/>
    <w:rsid w:val="005D3DA0"/>
    <w:rsid w:val="005F1A30"/>
    <w:rsid w:val="005F7E51"/>
    <w:rsid w:val="00601343"/>
    <w:rsid w:val="00611CB6"/>
    <w:rsid w:val="00616047"/>
    <w:rsid w:val="00620044"/>
    <w:rsid w:val="00625A9B"/>
    <w:rsid w:val="0063637F"/>
    <w:rsid w:val="00641175"/>
    <w:rsid w:val="00647056"/>
    <w:rsid w:val="00656A18"/>
    <w:rsid w:val="00666F5C"/>
    <w:rsid w:val="00667344"/>
    <w:rsid w:val="00680237"/>
    <w:rsid w:val="0068216B"/>
    <w:rsid w:val="00687E4B"/>
    <w:rsid w:val="00694192"/>
    <w:rsid w:val="00694C89"/>
    <w:rsid w:val="00697D20"/>
    <w:rsid w:val="006A0612"/>
    <w:rsid w:val="006A134C"/>
    <w:rsid w:val="006A568F"/>
    <w:rsid w:val="006A581C"/>
    <w:rsid w:val="006A76D0"/>
    <w:rsid w:val="006B02FA"/>
    <w:rsid w:val="006C1B40"/>
    <w:rsid w:val="006C45A1"/>
    <w:rsid w:val="006D4741"/>
    <w:rsid w:val="006D7F28"/>
    <w:rsid w:val="006E364A"/>
    <w:rsid w:val="006E40E7"/>
    <w:rsid w:val="006E6D22"/>
    <w:rsid w:val="006F3767"/>
    <w:rsid w:val="006F4244"/>
    <w:rsid w:val="00710CC3"/>
    <w:rsid w:val="00711663"/>
    <w:rsid w:val="00721DFD"/>
    <w:rsid w:val="0072285A"/>
    <w:rsid w:val="007231E0"/>
    <w:rsid w:val="00744557"/>
    <w:rsid w:val="00752421"/>
    <w:rsid w:val="0076041E"/>
    <w:rsid w:val="00762129"/>
    <w:rsid w:val="00763264"/>
    <w:rsid w:val="0076503A"/>
    <w:rsid w:val="0076759E"/>
    <w:rsid w:val="007741BC"/>
    <w:rsid w:val="00780593"/>
    <w:rsid w:val="007877A5"/>
    <w:rsid w:val="0079046A"/>
    <w:rsid w:val="00794F62"/>
    <w:rsid w:val="007A6EAA"/>
    <w:rsid w:val="007B595F"/>
    <w:rsid w:val="007C6A4E"/>
    <w:rsid w:val="007D4F21"/>
    <w:rsid w:val="007D54CE"/>
    <w:rsid w:val="007E1716"/>
    <w:rsid w:val="007E5B1A"/>
    <w:rsid w:val="007F11A2"/>
    <w:rsid w:val="007F3000"/>
    <w:rsid w:val="007F5572"/>
    <w:rsid w:val="007F6345"/>
    <w:rsid w:val="008110A1"/>
    <w:rsid w:val="008133BA"/>
    <w:rsid w:val="00813E62"/>
    <w:rsid w:val="00820A1F"/>
    <w:rsid w:val="00821353"/>
    <w:rsid w:val="0083003F"/>
    <w:rsid w:val="00832364"/>
    <w:rsid w:val="00841097"/>
    <w:rsid w:val="00842FB8"/>
    <w:rsid w:val="008450EA"/>
    <w:rsid w:val="00863845"/>
    <w:rsid w:val="00875808"/>
    <w:rsid w:val="00876533"/>
    <w:rsid w:val="0088747D"/>
    <w:rsid w:val="00894BCD"/>
    <w:rsid w:val="008B30B6"/>
    <w:rsid w:val="008C0379"/>
    <w:rsid w:val="008C3C90"/>
    <w:rsid w:val="008C4CA7"/>
    <w:rsid w:val="008C60F7"/>
    <w:rsid w:val="008D0EEF"/>
    <w:rsid w:val="008D1931"/>
    <w:rsid w:val="008D729F"/>
    <w:rsid w:val="008E26FC"/>
    <w:rsid w:val="008F6A87"/>
    <w:rsid w:val="0090794B"/>
    <w:rsid w:val="009111C0"/>
    <w:rsid w:val="0091206D"/>
    <w:rsid w:val="00916689"/>
    <w:rsid w:val="00925B2A"/>
    <w:rsid w:val="009375A4"/>
    <w:rsid w:val="00942B2A"/>
    <w:rsid w:val="00945A10"/>
    <w:rsid w:val="009623AA"/>
    <w:rsid w:val="00972625"/>
    <w:rsid w:val="009734B3"/>
    <w:rsid w:val="00976264"/>
    <w:rsid w:val="00984364"/>
    <w:rsid w:val="00987161"/>
    <w:rsid w:val="0099428F"/>
    <w:rsid w:val="009959FD"/>
    <w:rsid w:val="009A3C9E"/>
    <w:rsid w:val="009A4A48"/>
    <w:rsid w:val="009B0EA6"/>
    <w:rsid w:val="009B21A5"/>
    <w:rsid w:val="009C0D3F"/>
    <w:rsid w:val="009C27CB"/>
    <w:rsid w:val="009C2FA6"/>
    <w:rsid w:val="009D3733"/>
    <w:rsid w:val="009D5E7C"/>
    <w:rsid w:val="009D6736"/>
    <w:rsid w:val="009E515D"/>
    <w:rsid w:val="00A00B7E"/>
    <w:rsid w:val="00A0195D"/>
    <w:rsid w:val="00A01FCC"/>
    <w:rsid w:val="00A07433"/>
    <w:rsid w:val="00A13E42"/>
    <w:rsid w:val="00A16B27"/>
    <w:rsid w:val="00A17F44"/>
    <w:rsid w:val="00A251E2"/>
    <w:rsid w:val="00A27B17"/>
    <w:rsid w:val="00A317C9"/>
    <w:rsid w:val="00A332DD"/>
    <w:rsid w:val="00A349B7"/>
    <w:rsid w:val="00A37175"/>
    <w:rsid w:val="00A37F8A"/>
    <w:rsid w:val="00A4372D"/>
    <w:rsid w:val="00A44036"/>
    <w:rsid w:val="00A47DC4"/>
    <w:rsid w:val="00A54C2E"/>
    <w:rsid w:val="00A645E0"/>
    <w:rsid w:val="00A67357"/>
    <w:rsid w:val="00A85515"/>
    <w:rsid w:val="00A9355F"/>
    <w:rsid w:val="00AA0013"/>
    <w:rsid w:val="00AA1D34"/>
    <w:rsid w:val="00AA2A81"/>
    <w:rsid w:val="00AA75C5"/>
    <w:rsid w:val="00AB0C9E"/>
    <w:rsid w:val="00AC1791"/>
    <w:rsid w:val="00AC3ACC"/>
    <w:rsid w:val="00AC60C7"/>
    <w:rsid w:val="00AC7D1D"/>
    <w:rsid w:val="00AD5F29"/>
    <w:rsid w:val="00AE260F"/>
    <w:rsid w:val="00AF0A49"/>
    <w:rsid w:val="00AF37BC"/>
    <w:rsid w:val="00AF45F7"/>
    <w:rsid w:val="00B1264C"/>
    <w:rsid w:val="00B20D44"/>
    <w:rsid w:val="00B2102F"/>
    <w:rsid w:val="00B23ED5"/>
    <w:rsid w:val="00B2610B"/>
    <w:rsid w:val="00B44C48"/>
    <w:rsid w:val="00B50B3A"/>
    <w:rsid w:val="00B64ACD"/>
    <w:rsid w:val="00B802DA"/>
    <w:rsid w:val="00B80C83"/>
    <w:rsid w:val="00B80E07"/>
    <w:rsid w:val="00B90F08"/>
    <w:rsid w:val="00B92977"/>
    <w:rsid w:val="00BA1A3C"/>
    <w:rsid w:val="00BB1B34"/>
    <w:rsid w:val="00BB1DA2"/>
    <w:rsid w:val="00BB2B47"/>
    <w:rsid w:val="00BB3B19"/>
    <w:rsid w:val="00BB6E0C"/>
    <w:rsid w:val="00BC0C69"/>
    <w:rsid w:val="00BC1754"/>
    <w:rsid w:val="00BC5C1E"/>
    <w:rsid w:val="00BC617F"/>
    <w:rsid w:val="00BE3E8D"/>
    <w:rsid w:val="00BE4388"/>
    <w:rsid w:val="00C1547D"/>
    <w:rsid w:val="00C2050A"/>
    <w:rsid w:val="00C231D7"/>
    <w:rsid w:val="00C23F08"/>
    <w:rsid w:val="00C3136F"/>
    <w:rsid w:val="00C37C7B"/>
    <w:rsid w:val="00C42A94"/>
    <w:rsid w:val="00C53E03"/>
    <w:rsid w:val="00C55CAA"/>
    <w:rsid w:val="00C70493"/>
    <w:rsid w:val="00C70BBB"/>
    <w:rsid w:val="00C7550C"/>
    <w:rsid w:val="00C75B6B"/>
    <w:rsid w:val="00C8249B"/>
    <w:rsid w:val="00C85B68"/>
    <w:rsid w:val="00CB43FC"/>
    <w:rsid w:val="00CB4904"/>
    <w:rsid w:val="00CB6811"/>
    <w:rsid w:val="00CB6BCC"/>
    <w:rsid w:val="00CC2BEF"/>
    <w:rsid w:val="00CC4DE4"/>
    <w:rsid w:val="00CC7C90"/>
    <w:rsid w:val="00CE0479"/>
    <w:rsid w:val="00CE7145"/>
    <w:rsid w:val="00CF565B"/>
    <w:rsid w:val="00CF7C40"/>
    <w:rsid w:val="00D026B6"/>
    <w:rsid w:val="00D02F2E"/>
    <w:rsid w:val="00D037B4"/>
    <w:rsid w:val="00D05FAD"/>
    <w:rsid w:val="00D202F4"/>
    <w:rsid w:val="00D22FCF"/>
    <w:rsid w:val="00D44A3D"/>
    <w:rsid w:val="00D46552"/>
    <w:rsid w:val="00D5646D"/>
    <w:rsid w:val="00D564D0"/>
    <w:rsid w:val="00D646E4"/>
    <w:rsid w:val="00D70479"/>
    <w:rsid w:val="00D74E25"/>
    <w:rsid w:val="00D76DED"/>
    <w:rsid w:val="00D77BDA"/>
    <w:rsid w:val="00D803F9"/>
    <w:rsid w:val="00D82AEF"/>
    <w:rsid w:val="00D82F73"/>
    <w:rsid w:val="00D83C87"/>
    <w:rsid w:val="00DA07E9"/>
    <w:rsid w:val="00DB50CD"/>
    <w:rsid w:val="00DC0B54"/>
    <w:rsid w:val="00DC2018"/>
    <w:rsid w:val="00DC21A2"/>
    <w:rsid w:val="00DC409F"/>
    <w:rsid w:val="00DC5BD0"/>
    <w:rsid w:val="00DD57C4"/>
    <w:rsid w:val="00DE0445"/>
    <w:rsid w:val="00DE481B"/>
    <w:rsid w:val="00DE5BEA"/>
    <w:rsid w:val="00DE6C2D"/>
    <w:rsid w:val="00DE6F42"/>
    <w:rsid w:val="00DF04F0"/>
    <w:rsid w:val="00DF0ED4"/>
    <w:rsid w:val="00DF4A17"/>
    <w:rsid w:val="00E01A1F"/>
    <w:rsid w:val="00E01E01"/>
    <w:rsid w:val="00E01F99"/>
    <w:rsid w:val="00E02B98"/>
    <w:rsid w:val="00E11F04"/>
    <w:rsid w:val="00E13466"/>
    <w:rsid w:val="00E15134"/>
    <w:rsid w:val="00E17A60"/>
    <w:rsid w:val="00E22886"/>
    <w:rsid w:val="00E23676"/>
    <w:rsid w:val="00E23816"/>
    <w:rsid w:val="00E35DD2"/>
    <w:rsid w:val="00E424B9"/>
    <w:rsid w:val="00E448C6"/>
    <w:rsid w:val="00E45DB4"/>
    <w:rsid w:val="00E47564"/>
    <w:rsid w:val="00E47D86"/>
    <w:rsid w:val="00E5470B"/>
    <w:rsid w:val="00E744D4"/>
    <w:rsid w:val="00E749C1"/>
    <w:rsid w:val="00E75AB0"/>
    <w:rsid w:val="00E767C1"/>
    <w:rsid w:val="00E80239"/>
    <w:rsid w:val="00E8691B"/>
    <w:rsid w:val="00E967DA"/>
    <w:rsid w:val="00E97C25"/>
    <w:rsid w:val="00EA40CA"/>
    <w:rsid w:val="00EA5F1E"/>
    <w:rsid w:val="00EB362C"/>
    <w:rsid w:val="00EC3645"/>
    <w:rsid w:val="00EC56A3"/>
    <w:rsid w:val="00ED01E9"/>
    <w:rsid w:val="00ED0B7F"/>
    <w:rsid w:val="00ED30E5"/>
    <w:rsid w:val="00ED4757"/>
    <w:rsid w:val="00EE6FCC"/>
    <w:rsid w:val="00F0098D"/>
    <w:rsid w:val="00F02BC6"/>
    <w:rsid w:val="00F02CC3"/>
    <w:rsid w:val="00F17EF6"/>
    <w:rsid w:val="00F30ADD"/>
    <w:rsid w:val="00F323F7"/>
    <w:rsid w:val="00F37430"/>
    <w:rsid w:val="00F40A32"/>
    <w:rsid w:val="00F42EB4"/>
    <w:rsid w:val="00F470CF"/>
    <w:rsid w:val="00F53F98"/>
    <w:rsid w:val="00F663BD"/>
    <w:rsid w:val="00F665B6"/>
    <w:rsid w:val="00F67735"/>
    <w:rsid w:val="00F73A4B"/>
    <w:rsid w:val="00F7488F"/>
    <w:rsid w:val="00F76464"/>
    <w:rsid w:val="00F84B58"/>
    <w:rsid w:val="00F90AFF"/>
    <w:rsid w:val="00F94FED"/>
    <w:rsid w:val="00F9579E"/>
    <w:rsid w:val="00F96B8F"/>
    <w:rsid w:val="00FA4BED"/>
    <w:rsid w:val="00FA7CEB"/>
    <w:rsid w:val="00FB2105"/>
    <w:rsid w:val="00FB7216"/>
    <w:rsid w:val="00FC672B"/>
    <w:rsid w:val="00FC7F65"/>
    <w:rsid w:val="00FE159B"/>
    <w:rsid w:val="00FE3AA4"/>
    <w:rsid w:val="00FE46F8"/>
    <w:rsid w:val="00FE4700"/>
    <w:rsid w:val="00FE6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E802E"/>
  <w15:docId w15:val="{F31F9FDE-B4F3-416A-AF5F-8F203707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unhideWhenUsed/>
    <w:qFormat/>
    <w:rsid w:val="00F96B8F"/>
    <w:pPr>
      <w:keepNext/>
      <w:keepLines/>
      <w:spacing w:before="200" w:line="276" w:lineRule="auto"/>
      <w:outlineLvl w:val="1"/>
    </w:pPr>
    <w:rPr>
      <w:rFonts w:ascii="Cambria" w:hAnsi="Cambria"/>
      <w:b/>
      <w:bCs/>
      <w:color w:val="4F81BD"/>
      <w:sz w:val="26"/>
      <w:szCs w:val="26"/>
      <w:lang w:eastAsia="en-US"/>
    </w:rPr>
  </w:style>
  <w:style w:type="paragraph" w:styleId="Nadpis3">
    <w:name w:val="heading 3"/>
    <w:basedOn w:val="Normln"/>
    <w:next w:val="Normln"/>
    <w:qFormat/>
    <w:pPr>
      <w:keepNext/>
      <w:spacing w:before="120" w:after="120"/>
      <w:jc w:val="center"/>
      <w:outlineLvl w:val="2"/>
    </w:pPr>
    <w:rPr>
      <w:b/>
      <w:spacing w:val="12"/>
      <w:kern w:val="20"/>
    </w:rPr>
  </w:style>
  <w:style w:type="paragraph" w:styleId="Nadpis4">
    <w:name w:val="heading 4"/>
    <w:basedOn w:val="Normln"/>
    <w:next w:val="Normln"/>
    <w:qFormat/>
    <w:pPr>
      <w:keepNext/>
      <w:jc w:val="center"/>
      <w:outlineLvl w:val="3"/>
    </w:pPr>
    <w:rPr>
      <w:b/>
    </w:rPr>
  </w:style>
  <w:style w:type="paragraph" w:styleId="Nadpis8">
    <w:name w:val="heading 8"/>
    <w:basedOn w:val="Normln"/>
    <w:next w:val="Normln"/>
    <w:qFormat/>
    <w:pPr>
      <w:keepNext/>
      <w:jc w:val="center"/>
      <w:outlineLvl w:val="7"/>
    </w:pPr>
    <w:rPr>
      <w:rFonts w:ascii="Goudy Old Style ATT" w:hAnsi="Goudy Old Style ATT"/>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pomnky">
    <w:name w:val="připomínky"/>
    <w:rPr>
      <w:rFonts w:ascii="Century Schoolbook" w:hAnsi="Century Schoolbook"/>
      <w:color w:val="FF0000"/>
      <w:sz w:val="24"/>
    </w:rPr>
  </w:style>
  <w:style w:type="character" w:customStyle="1" w:styleId="poznmka">
    <w:name w:val="poznámka"/>
    <w:rPr>
      <w:rFonts w:ascii="Century Schoolbook" w:hAnsi="Century Schoolbook"/>
      <w:i/>
      <w:color w:val="FF0000"/>
      <w:sz w:val="22"/>
    </w:rPr>
  </w:style>
  <w:style w:type="character" w:customStyle="1" w:styleId="pipomnka">
    <w:name w:val="připomínka"/>
    <w:rPr>
      <w:rFonts w:ascii="Garamond" w:hAnsi="Garamond"/>
      <w:b/>
      <w:i/>
      <w:color w:val="800000"/>
      <w:spacing w:val="2"/>
      <w:sz w:val="22"/>
      <w:bdr w:val="none" w:sz="0" w:space="0" w:color="auto"/>
      <w:shd w:val="pct70" w:color="FFFFFF" w:fill="FFFF00"/>
    </w:rPr>
  </w:style>
  <w:style w:type="paragraph" w:styleId="Nzev">
    <w:name w:val="Title"/>
    <w:basedOn w:val="Normln"/>
    <w:link w:val="NzevChar"/>
    <w:qFormat/>
    <w:pPr>
      <w:spacing w:after="120"/>
      <w:jc w:val="center"/>
      <w:outlineLvl w:val="0"/>
    </w:pPr>
    <w:rPr>
      <w:rFonts w:ascii="Goudy Old Style ATT" w:hAnsi="Goudy Old Style ATT"/>
      <w:b/>
      <w:smallCaps/>
      <w:color w:val="000000"/>
      <w:spacing w:val="20"/>
      <w:sz w:val="30"/>
    </w:rPr>
  </w:style>
  <w:style w:type="paragraph" w:styleId="Zkladntext2">
    <w:name w:val="Body Text 2"/>
    <w:basedOn w:val="Normln"/>
    <w:pPr>
      <w:jc w:val="both"/>
    </w:pPr>
    <w:rPr>
      <w:color w:val="000000"/>
    </w:rPr>
  </w:style>
  <w:style w:type="paragraph" w:styleId="Zkladntextodsazen">
    <w:name w:val="Body Text Indent"/>
    <w:basedOn w:val="Normln"/>
    <w:pPr>
      <w:spacing w:after="80"/>
      <w:ind w:left="709" w:hanging="425"/>
      <w:jc w:val="both"/>
    </w:pPr>
    <w:rPr>
      <w:rFonts w:ascii="Goudy Old Style ATT" w:hAnsi="Goudy Old Style ATT"/>
      <w:color w:val="000000"/>
    </w:rPr>
  </w:style>
  <w:style w:type="paragraph" w:styleId="Textpoznpodarou">
    <w:name w:val="footnote text"/>
    <w:basedOn w:val="Normln"/>
    <w:link w:val="TextpoznpodarouChar"/>
    <w:semiHidden/>
    <w:rPr>
      <w:sz w:val="20"/>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autoSpaceDE w:val="0"/>
      <w:autoSpaceDN w:val="0"/>
      <w:adjustRightInd w:val="0"/>
      <w:jc w:val="both"/>
    </w:pPr>
  </w:style>
  <w:style w:type="character" w:styleId="Znakapoznpodarou">
    <w:name w:val="footnote reference"/>
    <w:uiPriority w:val="99"/>
    <w:semiHidden/>
    <w:rsid w:val="00F0098D"/>
    <w:rPr>
      <w:vertAlign w:val="superscript"/>
    </w:rPr>
  </w:style>
  <w:style w:type="paragraph" w:styleId="Textbubliny">
    <w:name w:val="Balloon Text"/>
    <w:basedOn w:val="Normln"/>
    <w:link w:val="TextbublinyChar"/>
    <w:uiPriority w:val="99"/>
    <w:semiHidden/>
    <w:rsid w:val="000E47E1"/>
    <w:rPr>
      <w:rFonts w:ascii="Tahoma" w:hAnsi="Tahoma" w:cs="Tahoma"/>
      <w:sz w:val="16"/>
      <w:szCs w:val="16"/>
    </w:rPr>
  </w:style>
  <w:style w:type="paragraph" w:styleId="Textkomente">
    <w:name w:val="annotation text"/>
    <w:basedOn w:val="Normln"/>
    <w:link w:val="TextkomenteChar"/>
    <w:uiPriority w:val="99"/>
    <w:rsid w:val="00314B49"/>
    <w:rPr>
      <w:sz w:val="20"/>
      <w:szCs w:val="20"/>
    </w:rPr>
  </w:style>
  <w:style w:type="character" w:styleId="Odkaznakoment">
    <w:name w:val="annotation reference"/>
    <w:uiPriority w:val="99"/>
    <w:semiHidden/>
    <w:rsid w:val="009D3733"/>
    <w:rPr>
      <w:sz w:val="16"/>
      <w:szCs w:val="16"/>
    </w:rPr>
  </w:style>
  <w:style w:type="paragraph" w:styleId="Pedmtkomente">
    <w:name w:val="annotation subject"/>
    <w:basedOn w:val="Textkomente"/>
    <w:next w:val="Textkomente"/>
    <w:semiHidden/>
    <w:rsid w:val="009D3733"/>
    <w:rPr>
      <w:b/>
      <w:bCs/>
    </w:rPr>
  </w:style>
  <w:style w:type="character" w:customStyle="1" w:styleId="tomasek">
    <w:name w:val="tomasek"/>
    <w:semiHidden/>
    <w:rsid w:val="000C6BCF"/>
    <w:rPr>
      <w:rFonts w:ascii="Arial" w:hAnsi="Arial" w:cs="Arial"/>
      <w:color w:val="000080"/>
      <w:sz w:val="20"/>
      <w:szCs w:val="20"/>
    </w:rPr>
  </w:style>
  <w:style w:type="character" w:customStyle="1" w:styleId="TextkomenteChar">
    <w:name w:val="Text komentáře Char"/>
    <w:link w:val="Textkomente"/>
    <w:uiPriority w:val="99"/>
    <w:rsid w:val="00CC7C90"/>
  </w:style>
  <w:style w:type="paragraph" w:styleId="Odstavecseseznamem">
    <w:name w:val="List Paragraph"/>
    <w:basedOn w:val="Normln"/>
    <w:uiPriority w:val="34"/>
    <w:qFormat/>
    <w:rsid w:val="00387E03"/>
    <w:pPr>
      <w:ind w:left="708"/>
    </w:pPr>
  </w:style>
  <w:style w:type="character" w:customStyle="1" w:styleId="TextpoznpodarouChar">
    <w:name w:val="Text pozn. pod čarou Char"/>
    <w:link w:val="Textpoznpodarou"/>
    <w:semiHidden/>
    <w:rsid w:val="00F76464"/>
    <w:rPr>
      <w:szCs w:val="24"/>
    </w:rPr>
  </w:style>
  <w:style w:type="character" w:customStyle="1" w:styleId="Nadpis2Char">
    <w:name w:val="Nadpis 2 Char"/>
    <w:link w:val="Nadpis2"/>
    <w:uiPriority w:val="9"/>
    <w:rsid w:val="00F96B8F"/>
    <w:rPr>
      <w:rFonts w:ascii="Cambria" w:hAnsi="Cambria"/>
      <w:b/>
      <w:bCs/>
      <w:color w:val="4F81BD"/>
      <w:sz w:val="26"/>
      <w:szCs w:val="26"/>
      <w:lang w:eastAsia="en-US"/>
    </w:rPr>
  </w:style>
  <w:style w:type="numbering" w:customStyle="1" w:styleId="Bezseznamu1">
    <w:name w:val="Bez seznamu1"/>
    <w:next w:val="Bezseznamu"/>
    <w:uiPriority w:val="99"/>
    <w:semiHidden/>
    <w:unhideWhenUsed/>
    <w:rsid w:val="00F96B8F"/>
  </w:style>
  <w:style w:type="character" w:customStyle="1" w:styleId="TextbublinyChar">
    <w:name w:val="Text bubliny Char"/>
    <w:link w:val="Textbubliny"/>
    <w:uiPriority w:val="99"/>
    <w:semiHidden/>
    <w:rsid w:val="00F96B8F"/>
    <w:rPr>
      <w:rFonts w:ascii="Tahoma" w:hAnsi="Tahoma" w:cs="Tahoma"/>
      <w:sz w:val="16"/>
      <w:szCs w:val="16"/>
    </w:rPr>
  </w:style>
  <w:style w:type="character" w:customStyle="1" w:styleId="NzevChar">
    <w:name w:val="Název Char"/>
    <w:link w:val="Nzev"/>
    <w:rsid w:val="005F1A30"/>
    <w:rPr>
      <w:rFonts w:ascii="Goudy Old Style ATT" w:hAnsi="Goudy Old Style ATT"/>
      <w:b/>
      <w:smallCaps/>
      <w:color w:val="000000"/>
      <w:spacing w:val="20"/>
      <w:sz w:val="30"/>
      <w:szCs w:val="24"/>
    </w:rPr>
  </w:style>
  <w:style w:type="character" w:customStyle="1" w:styleId="h1a2">
    <w:name w:val="h1a2"/>
    <w:rsid w:val="002C5DEB"/>
  </w:style>
  <w:style w:type="paragraph" w:customStyle="1" w:styleId="Default">
    <w:name w:val="Default"/>
    <w:basedOn w:val="Normln"/>
    <w:rsid w:val="00027FAD"/>
    <w:pPr>
      <w:autoSpaceDE w:val="0"/>
      <w:autoSpaceDN w:val="0"/>
    </w:pPr>
    <w:rPr>
      <w:rFonts w:eastAsiaTheme="minorHAnsi"/>
      <w:color w:val="000000"/>
      <w:lang w:eastAsia="en-US"/>
    </w:rPr>
  </w:style>
  <w:style w:type="paragraph" w:styleId="Obsah1">
    <w:name w:val="toc 1"/>
    <w:basedOn w:val="Normln"/>
    <w:next w:val="Normln"/>
    <w:autoRedefine/>
    <w:uiPriority w:val="39"/>
    <w:rsid w:val="006A0612"/>
    <w:pPr>
      <w:spacing w:before="120" w:after="120" w:line="276" w:lineRule="auto"/>
    </w:pPr>
    <w:rPr>
      <w:rFonts w:asciiTheme="minorHAnsi" w:eastAsiaTheme="minorHAnsi" w:hAnsiTheme="minorHAnsi" w:cstheme="minorBidi"/>
      <w:b/>
      <w:caps/>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5914">
      <w:bodyDiv w:val="1"/>
      <w:marLeft w:val="0"/>
      <w:marRight w:val="0"/>
      <w:marTop w:val="0"/>
      <w:marBottom w:val="0"/>
      <w:divBdr>
        <w:top w:val="none" w:sz="0" w:space="0" w:color="auto"/>
        <w:left w:val="none" w:sz="0" w:space="0" w:color="auto"/>
        <w:bottom w:val="none" w:sz="0" w:space="0" w:color="auto"/>
        <w:right w:val="none" w:sz="0" w:space="0" w:color="auto"/>
      </w:divBdr>
    </w:div>
    <w:div w:id="222915379">
      <w:bodyDiv w:val="1"/>
      <w:marLeft w:val="0"/>
      <w:marRight w:val="0"/>
      <w:marTop w:val="0"/>
      <w:marBottom w:val="0"/>
      <w:divBdr>
        <w:top w:val="none" w:sz="0" w:space="0" w:color="auto"/>
        <w:left w:val="none" w:sz="0" w:space="0" w:color="auto"/>
        <w:bottom w:val="none" w:sz="0" w:space="0" w:color="auto"/>
        <w:right w:val="none" w:sz="0" w:space="0" w:color="auto"/>
      </w:divBdr>
    </w:div>
    <w:div w:id="475075344">
      <w:bodyDiv w:val="1"/>
      <w:marLeft w:val="0"/>
      <w:marRight w:val="0"/>
      <w:marTop w:val="0"/>
      <w:marBottom w:val="0"/>
      <w:divBdr>
        <w:top w:val="none" w:sz="0" w:space="0" w:color="auto"/>
        <w:left w:val="none" w:sz="0" w:space="0" w:color="auto"/>
        <w:bottom w:val="none" w:sz="0" w:space="0" w:color="auto"/>
        <w:right w:val="none" w:sz="0" w:space="0" w:color="auto"/>
      </w:divBdr>
    </w:div>
    <w:div w:id="679433329">
      <w:bodyDiv w:val="1"/>
      <w:marLeft w:val="0"/>
      <w:marRight w:val="0"/>
      <w:marTop w:val="0"/>
      <w:marBottom w:val="0"/>
      <w:divBdr>
        <w:top w:val="none" w:sz="0" w:space="0" w:color="auto"/>
        <w:left w:val="none" w:sz="0" w:space="0" w:color="auto"/>
        <w:bottom w:val="none" w:sz="0" w:space="0" w:color="auto"/>
        <w:right w:val="none" w:sz="0" w:space="0" w:color="auto"/>
      </w:divBdr>
    </w:div>
    <w:div w:id="1279988339">
      <w:bodyDiv w:val="1"/>
      <w:marLeft w:val="0"/>
      <w:marRight w:val="0"/>
      <w:marTop w:val="0"/>
      <w:marBottom w:val="0"/>
      <w:divBdr>
        <w:top w:val="none" w:sz="0" w:space="0" w:color="auto"/>
        <w:left w:val="none" w:sz="0" w:space="0" w:color="auto"/>
        <w:bottom w:val="none" w:sz="0" w:space="0" w:color="auto"/>
        <w:right w:val="none" w:sz="0" w:space="0" w:color="auto"/>
      </w:divBdr>
    </w:div>
    <w:div w:id="1795833106">
      <w:bodyDiv w:val="1"/>
      <w:marLeft w:val="0"/>
      <w:marRight w:val="0"/>
      <w:marTop w:val="0"/>
      <w:marBottom w:val="0"/>
      <w:divBdr>
        <w:top w:val="none" w:sz="0" w:space="0" w:color="auto"/>
        <w:left w:val="none" w:sz="0" w:space="0" w:color="auto"/>
        <w:bottom w:val="none" w:sz="0" w:space="0" w:color="auto"/>
        <w:right w:val="none" w:sz="0" w:space="0" w:color="auto"/>
      </w:divBdr>
    </w:div>
    <w:div w:id="1882207233">
      <w:bodyDiv w:val="1"/>
      <w:marLeft w:val="0"/>
      <w:marRight w:val="0"/>
      <w:marTop w:val="0"/>
      <w:marBottom w:val="0"/>
      <w:divBdr>
        <w:top w:val="none" w:sz="0" w:space="0" w:color="auto"/>
        <w:left w:val="none" w:sz="0" w:space="0" w:color="auto"/>
        <w:bottom w:val="none" w:sz="0" w:space="0" w:color="auto"/>
        <w:right w:val="none" w:sz="0" w:space="0" w:color="auto"/>
      </w:divBdr>
    </w:div>
    <w:div w:id="2042197900">
      <w:bodyDiv w:val="1"/>
      <w:marLeft w:val="0"/>
      <w:marRight w:val="0"/>
      <w:marTop w:val="0"/>
      <w:marBottom w:val="0"/>
      <w:divBdr>
        <w:top w:val="none" w:sz="0" w:space="0" w:color="auto"/>
        <w:left w:val="none" w:sz="0" w:space="0" w:color="auto"/>
        <w:bottom w:val="none" w:sz="0" w:space="0" w:color="auto"/>
        <w:right w:val="none" w:sz="0" w:space="0" w:color="auto"/>
      </w:divBdr>
    </w:div>
    <w:div w:id="2123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C051C-6A60-4AB9-B6AE-8AA49C59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6431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VYHLÁŠKA ZASTUPITELSTVA MĚSTA PLZNĚ</vt:lpstr>
    </vt:vector>
  </TitlesOfParts>
  <Company>SITmP</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ZASTUPITELSTVA MĚSTA PLZNĚ</dc:title>
  <dc:creator>tomasek</dc:creator>
  <cp:lastModifiedBy>Jirková Michaela</cp:lastModifiedBy>
  <cp:revision>2</cp:revision>
  <cp:lastPrinted>2018-06-22T11:52:00Z</cp:lastPrinted>
  <dcterms:created xsi:type="dcterms:W3CDTF">2023-07-20T08:14:00Z</dcterms:created>
  <dcterms:modified xsi:type="dcterms:W3CDTF">2023-07-20T08:14:00Z</dcterms:modified>
</cp:coreProperties>
</file>