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D1" w:rsidRDefault="00503B8D">
      <w:pPr>
        <w:pStyle w:val="Zkladntext1"/>
        <w:spacing w:after="0"/>
        <w:jc w:val="center"/>
        <w:rPr>
          <w:sz w:val="24"/>
          <w:szCs w:val="24"/>
        </w:rPr>
        <w:sectPr w:rsidR="00367AD1">
          <w:pgSz w:w="11900" w:h="16840"/>
          <w:pgMar w:top="1074" w:right="1449" w:bottom="0" w:left="1314" w:header="646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OBECNĚ ZÁVAZNÁ VYHLÁŠKA</w:t>
      </w:r>
      <w:r>
        <w:rPr>
          <w:b/>
          <w:bCs/>
          <w:sz w:val="24"/>
          <w:szCs w:val="24"/>
        </w:rPr>
        <w:br/>
        <w:t>MĚSTA VALAŠSKÉ MEZIŘÍČÍ č. 1/2015,</w:t>
      </w:r>
      <w:r>
        <w:rPr>
          <w:b/>
          <w:bCs/>
          <w:sz w:val="24"/>
          <w:szCs w:val="24"/>
        </w:rPr>
        <w:br/>
        <w:t>kterou se stanoví místa, na kterých lze provozovat loterie a jiné podobné hry</w:t>
      </w:r>
    </w:p>
    <w:p w:rsidR="00367AD1" w:rsidRDefault="00AB586B" w:rsidP="00AB586B">
      <w:pPr>
        <w:tabs>
          <w:tab w:val="left" w:pos="3011"/>
        </w:tabs>
        <w:spacing w:before="65"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</w:p>
    <w:p w:rsidR="00AB586B" w:rsidRDefault="00AB586B" w:rsidP="00AB586B">
      <w:pPr>
        <w:tabs>
          <w:tab w:val="left" w:pos="3011"/>
        </w:tabs>
        <w:spacing w:before="65" w:after="65" w:line="240" w:lineRule="exact"/>
        <w:rPr>
          <w:sz w:val="19"/>
          <w:szCs w:val="19"/>
        </w:rPr>
      </w:pPr>
    </w:p>
    <w:p w:rsidR="00367AD1" w:rsidRDefault="00AB586B" w:rsidP="00AB586B">
      <w:pPr>
        <w:tabs>
          <w:tab w:val="left" w:pos="3011"/>
        </w:tabs>
        <w:spacing w:line="1" w:lineRule="exact"/>
        <w:sectPr w:rsidR="00367AD1">
          <w:type w:val="continuous"/>
          <w:pgSz w:w="11900" w:h="16840"/>
          <w:pgMar w:top="1074" w:right="0" w:bottom="0" w:left="0" w:header="0" w:footer="3" w:gutter="0"/>
          <w:cols w:space="720"/>
          <w:noEndnote/>
          <w:docGrid w:linePitch="360"/>
        </w:sectPr>
      </w:pPr>
      <w:r>
        <w:tab/>
      </w:r>
    </w:p>
    <w:p w:rsidR="00367AD1" w:rsidRDefault="00367AD1">
      <w:pPr>
        <w:spacing w:line="1" w:lineRule="exact"/>
      </w:pPr>
    </w:p>
    <w:p w:rsidR="00367AD1" w:rsidRDefault="00503B8D" w:rsidP="00450D6C">
      <w:pPr>
        <w:pStyle w:val="Zkladntext1"/>
        <w:spacing w:after="500"/>
        <w:ind w:right="137"/>
        <w:jc w:val="both"/>
      </w:pPr>
      <w:r>
        <w:t>Zastupitelstvo města Valašské Meziříčí se usneslo dne 5. 3. 2015 vydat na základě ustanovení § 50 odst. 4 zákona č. 202/1990 Sb., o loteriích a jiných podobných hrá</w:t>
      </w:r>
      <w:r w:rsidR="002B02AC">
        <w:t>ch, ve znění pozdějších předpisů</w:t>
      </w:r>
      <w:r>
        <w:t xml:space="preserve"> (dále jen „zákon o loteriích“) a v souladu s § 10 písm. a) a d), § 35 a § 84 odst. 2 písm. h) zákona č. 128/2000 Sb., o obcích (obecní zřízení), ve znění pozdějších předpisů, tuto obecně závaznou vyhlášku.</w:t>
      </w:r>
    </w:p>
    <w:p w:rsidR="00367AD1" w:rsidRDefault="002B02AC">
      <w:pPr>
        <w:pStyle w:val="Zkladntext1"/>
        <w:spacing w:after="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</w:t>
      </w:r>
      <w:r w:rsidR="00503B8D">
        <w:rPr>
          <w:b/>
          <w:bCs/>
          <w:sz w:val="24"/>
          <w:szCs w:val="24"/>
        </w:rPr>
        <w:t>. 1</w:t>
      </w:r>
    </w:p>
    <w:p w:rsidR="00367AD1" w:rsidRDefault="00503B8D">
      <w:pPr>
        <w:pStyle w:val="Zkladntext1"/>
        <w:spacing w:after="22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Určení míst</w:t>
      </w:r>
    </w:p>
    <w:p w:rsidR="00367AD1" w:rsidRDefault="00503B8D" w:rsidP="00450D6C">
      <w:pPr>
        <w:pStyle w:val="Zkladntext1"/>
        <w:spacing w:after="500"/>
        <w:ind w:right="137"/>
        <w:jc w:val="both"/>
      </w:pPr>
      <w:r>
        <w:t>Sázkové hry podle § 2 písm. e), g), i), 1), m) a n) zákona o loteriích a loterie a jiné podobné hry podle § 2 písm. j) zákona o loteriích a § 50 odst. 3 zákona o loteriích lze provozovat pouze na místech, a to v budovách s evidencí ulice a čísla popisného resp. parcelního čísla, uvedených v příloze č. 1 k této obecně závazné vyhlášce.</w:t>
      </w:r>
    </w:p>
    <w:p w:rsidR="00367AD1" w:rsidRDefault="002B02AC">
      <w:pPr>
        <w:pStyle w:val="Zkladntext1"/>
        <w:spacing w:after="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</w:t>
      </w:r>
      <w:r w:rsidR="00503B8D">
        <w:rPr>
          <w:b/>
          <w:bCs/>
          <w:sz w:val="24"/>
          <w:szCs w:val="24"/>
        </w:rPr>
        <w:t>. 2</w:t>
      </w:r>
    </w:p>
    <w:p w:rsidR="00367AD1" w:rsidRDefault="00503B8D">
      <w:pPr>
        <w:pStyle w:val="Zkladntext1"/>
        <w:spacing w:after="22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Přechodné ustanovení</w:t>
      </w:r>
    </w:p>
    <w:p w:rsidR="00367AD1" w:rsidRDefault="00503B8D" w:rsidP="00450D6C">
      <w:pPr>
        <w:pStyle w:val="Zkladntext1"/>
        <w:spacing w:after="500"/>
        <w:ind w:right="137"/>
        <w:jc w:val="both"/>
      </w:pPr>
      <w:r>
        <w:t>Výherní hrací přístroje, jejichž provozování bylo povoleno Městským úřadem ve Valašském Meziříčí před nabytím účinnosti této obecně závazné vyhlášky, lze provozovat po dobu platnosti vydaného povolení, a to za podmínek stanovených ve vydaném povolení.</w:t>
      </w:r>
    </w:p>
    <w:p w:rsidR="00367AD1" w:rsidRDefault="002B02AC">
      <w:pPr>
        <w:pStyle w:val="Zkladntext1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</w:t>
      </w:r>
      <w:r w:rsidR="00503B8D">
        <w:rPr>
          <w:b/>
          <w:bCs/>
          <w:sz w:val="24"/>
          <w:szCs w:val="24"/>
        </w:rPr>
        <w:t>. 3</w:t>
      </w:r>
    </w:p>
    <w:p w:rsidR="00367AD1" w:rsidRDefault="00503B8D">
      <w:pPr>
        <w:pStyle w:val="Zkladntext1"/>
        <w:spacing w:after="2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Pravidla vnějšího vzhledu provozoven</w:t>
      </w:r>
    </w:p>
    <w:p w:rsidR="00367AD1" w:rsidRDefault="00503B8D" w:rsidP="00450D6C">
      <w:pPr>
        <w:pStyle w:val="Zkladntext1"/>
        <w:spacing w:after="0"/>
        <w:ind w:right="137"/>
        <w:jc w:val="both"/>
      </w:pPr>
      <w:r>
        <w:t>Stanovují se následující pravidla pro úpravu vnějšího vzhledu místa, kd</w:t>
      </w:r>
      <w:r w:rsidR="00857973">
        <w:t>e jsou loterie a jiné podobné h</w:t>
      </w:r>
      <w:bookmarkStart w:id="0" w:name="_GoBack"/>
      <w:bookmarkEnd w:id="0"/>
      <w:r>
        <w:t>ry provozovány ("dále jen provozovna"):</w:t>
      </w:r>
    </w:p>
    <w:p w:rsidR="00367AD1" w:rsidRDefault="00503B8D" w:rsidP="00450D6C">
      <w:pPr>
        <w:pStyle w:val="Zkladntext1"/>
        <w:numPr>
          <w:ilvl w:val="0"/>
          <w:numId w:val="1"/>
        </w:numPr>
        <w:tabs>
          <w:tab w:val="left" w:pos="288"/>
        </w:tabs>
        <w:spacing w:after="0"/>
        <w:ind w:left="280" w:right="137" w:hanging="280"/>
        <w:jc w:val="both"/>
      </w:pPr>
      <w:r>
        <w:t>výlohy, vstup, okna a jiné otvory musí být technicky zabezpečeny tak, aby nebylo možné nahlížet do vnitřních prostor provozovny;</w:t>
      </w:r>
    </w:p>
    <w:p w:rsidR="00367AD1" w:rsidRDefault="00503B8D" w:rsidP="00450D6C">
      <w:pPr>
        <w:pStyle w:val="Zkladntext1"/>
        <w:numPr>
          <w:ilvl w:val="0"/>
          <w:numId w:val="1"/>
        </w:numPr>
        <w:tabs>
          <w:tab w:val="left" w:pos="295"/>
        </w:tabs>
        <w:spacing w:after="660"/>
        <w:ind w:left="280" w:right="137" w:hanging="280"/>
        <w:jc w:val="both"/>
      </w:pPr>
      <w:r>
        <w:t xml:space="preserve">všechny provozovny musí být zřetelně označeny nápisem "Herna" nebo "Kasino", případně </w:t>
      </w:r>
      <w:r>
        <w:rPr>
          <w:lang w:val="en-US" w:eastAsia="en-US" w:bidi="en-US"/>
        </w:rPr>
        <w:t xml:space="preserve">"Casino", </w:t>
      </w:r>
      <w:r>
        <w:t>a to dle druhu povolení k provozování loterií vydaného dle zákona</w:t>
      </w:r>
    </w:p>
    <w:p w:rsidR="00367AD1" w:rsidRDefault="00503B8D" w:rsidP="00AB586B">
      <w:pPr>
        <w:pStyle w:val="Zkladntext20"/>
        <w:spacing w:after="0" w:line="240" w:lineRule="auto"/>
        <w:ind w:left="284" w:right="137"/>
        <w:jc w:val="both"/>
        <w:rPr>
          <w:sz w:val="22"/>
          <w:szCs w:val="22"/>
        </w:rPr>
      </w:pPr>
      <w:r>
        <w:t xml:space="preserve"> </w:t>
      </w:r>
      <w:r>
        <w:br w:type="column"/>
      </w:r>
      <w:r>
        <w:rPr>
          <w:rStyle w:val="Zkladntext"/>
        </w:rPr>
        <w:t>o loteriích. Rozměr tohoto označení může být v maximálních rozměrech šířka 80 cm a výška 50 cm, přičemž toto označení může být umístěno pouze na vstupních dveřích provozovny;</w:t>
      </w:r>
    </w:p>
    <w:p w:rsidR="00367AD1" w:rsidRDefault="00503B8D" w:rsidP="00D05DD4">
      <w:pPr>
        <w:pStyle w:val="Zkladntext1"/>
        <w:numPr>
          <w:ilvl w:val="0"/>
          <w:numId w:val="1"/>
        </w:numPr>
        <w:tabs>
          <w:tab w:val="left" w:pos="288"/>
        </w:tabs>
        <w:spacing w:after="0"/>
        <w:ind w:left="280" w:right="137" w:hanging="280"/>
        <w:jc w:val="both"/>
      </w:pPr>
      <w:r>
        <w:t>označení provozovny nesmí být pojato jako reklama. Označení provozovny nesmí být blikající ani jinak upoutávat pozornost a rušit okolí. Omezení dle věty druhé se nevztahují na možnost označit provozovnu stacionárním osvětlením;</w:t>
      </w:r>
    </w:p>
    <w:p w:rsidR="00367AD1" w:rsidRDefault="00503B8D" w:rsidP="00D05DD4">
      <w:pPr>
        <w:pStyle w:val="Zkladntext1"/>
        <w:numPr>
          <w:ilvl w:val="0"/>
          <w:numId w:val="1"/>
        </w:numPr>
        <w:tabs>
          <w:tab w:val="left" w:pos="298"/>
        </w:tabs>
        <w:spacing w:after="0"/>
        <w:ind w:left="280" w:right="137" w:hanging="280"/>
        <w:jc w:val="both"/>
      </w:pPr>
      <w:r>
        <w:t>na vnějším plášti budovy, ve kterém se nachází provozovna, na oknech, ani na vnějších stěnách ohraničujících provozovnu nesmí být umístěny symboly a nápisy upozorňující na provozování loterií;</w:t>
      </w:r>
    </w:p>
    <w:p w:rsidR="00367AD1" w:rsidRDefault="00503B8D" w:rsidP="00D05DD4">
      <w:pPr>
        <w:pStyle w:val="Zkladntext1"/>
        <w:numPr>
          <w:ilvl w:val="0"/>
          <w:numId w:val="1"/>
        </w:numPr>
        <w:tabs>
          <w:tab w:val="left" w:pos="291"/>
        </w:tabs>
        <w:spacing w:after="0"/>
        <w:ind w:left="280" w:right="137" w:hanging="280"/>
        <w:jc w:val="both"/>
      </w:pPr>
      <w:r>
        <w:t>na vnějším plášti budovy, ve kterém se nachází provozovna, ani na vnějších stěnách ohraničujících provozovnu nesmí být umístěna žádná zařízení spojená s loterií nebo na loterii odkazující. Zejména se zakazují zařízení informující o stavu hry, výši možné výhry či akcích a slevách pro hráče.</w:t>
      </w:r>
    </w:p>
    <w:p w:rsidR="00367AD1" w:rsidRDefault="00503B8D" w:rsidP="00D05DD4">
      <w:pPr>
        <w:pStyle w:val="Zkladntext1"/>
        <w:numPr>
          <w:ilvl w:val="0"/>
          <w:numId w:val="1"/>
        </w:numPr>
        <w:tabs>
          <w:tab w:val="left" w:pos="288"/>
        </w:tabs>
        <w:spacing w:after="500"/>
        <w:ind w:left="280" w:right="137" w:hanging="280"/>
        <w:jc w:val="both"/>
      </w:pPr>
      <w:r>
        <w:t>na každém vstupu do provozovny musí být zřetelné označení zákazu vstupu osobám mladším 18 let.</w:t>
      </w:r>
    </w:p>
    <w:p w:rsidR="00367AD1" w:rsidRDefault="002B02AC">
      <w:pPr>
        <w:pStyle w:val="Zkladntext1"/>
        <w:spacing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</w:t>
      </w:r>
      <w:r w:rsidR="00503B8D">
        <w:rPr>
          <w:b/>
          <w:bCs/>
          <w:sz w:val="24"/>
          <w:szCs w:val="24"/>
        </w:rPr>
        <w:t>. 4</w:t>
      </w:r>
    </w:p>
    <w:p w:rsidR="00367AD1" w:rsidRDefault="00503B8D">
      <w:pPr>
        <w:pStyle w:val="Zkladntext1"/>
        <w:spacing w:after="22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Zrušovací ustanovení</w:t>
      </w:r>
    </w:p>
    <w:p w:rsidR="00367AD1" w:rsidRDefault="00503B8D" w:rsidP="00D05DD4">
      <w:pPr>
        <w:pStyle w:val="Zkladntext1"/>
        <w:spacing w:after="500"/>
        <w:ind w:right="137"/>
        <w:jc w:val="both"/>
      </w:pPr>
      <w:r>
        <w:t>Touto obecně závaznou vyhláškou se ruší obecně závazná vyhláška č. 6/2013 kterou se stanoví místa, na kterých lze provozovat loterie a jiné podobné hry, ze dne 31. 10. 2013.</w:t>
      </w:r>
    </w:p>
    <w:p w:rsidR="00F84F51" w:rsidRDefault="002B02AC" w:rsidP="00F84F51">
      <w:pPr>
        <w:pStyle w:val="Zkladntext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</w:t>
      </w:r>
      <w:r w:rsidR="00503B8D">
        <w:rPr>
          <w:b/>
          <w:bCs/>
          <w:sz w:val="24"/>
          <w:szCs w:val="24"/>
        </w:rPr>
        <w:t>. 5</w:t>
      </w:r>
      <w:r w:rsidR="00503B8D">
        <w:rPr>
          <w:b/>
          <w:bCs/>
          <w:sz w:val="24"/>
          <w:szCs w:val="24"/>
        </w:rPr>
        <w:br/>
        <w:t>Účinnost</w:t>
      </w:r>
    </w:p>
    <w:p w:rsidR="00F84F51" w:rsidRDefault="00F84F51" w:rsidP="00D05DD4">
      <w:pPr>
        <w:pStyle w:val="Zkladntext1"/>
        <w:ind w:right="-5"/>
        <w:jc w:val="both"/>
      </w:pPr>
      <w:r>
        <w:t>Tato obecně závazná vyhláška nabývá účinno</w:t>
      </w:r>
      <w:r w:rsidR="00D05DD4">
        <w:t>sti dnem vyhlášení s výjimkou Čl</w:t>
      </w:r>
      <w:r>
        <w:t>. 3, který nabývá z důvodu naléhavého obecného zájmu účinnosti třicátým dnem po dni vyhlášení.</w:t>
      </w:r>
    </w:p>
    <w:p w:rsidR="00F84F51" w:rsidRDefault="00F84F51" w:rsidP="00F84F51">
      <w:pPr>
        <w:pStyle w:val="Zkladntext1"/>
      </w:pPr>
    </w:p>
    <w:p w:rsidR="00F84F51" w:rsidRDefault="00F84F51" w:rsidP="00D05DD4">
      <w:pPr>
        <w:pStyle w:val="Zkladntext1"/>
        <w:jc w:val="center"/>
      </w:pPr>
      <w:r>
        <w:t>&lt;otisk úředního razítka&gt;</w:t>
      </w:r>
    </w:p>
    <w:p w:rsidR="00F84F51" w:rsidRDefault="00F84F51" w:rsidP="00F84F51">
      <w:pPr>
        <w:pStyle w:val="Zkladntext1"/>
      </w:pPr>
    </w:p>
    <w:p w:rsidR="00F84F51" w:rsidRDefault="00F84F51" w:rsidP="00F84F51">
      <w:pPr>
        <w:pStyle w:val="Zkladntext1"/>
        <w:spacing w:after="0"/>
        <w:ind w:right="-147"/>
      </w:pPr>
      <w:r>
        <w:t>Ing. Josef  Vrátník v.r.</w:t>
      </w:r>
      <w:r>
        <w:tab/>
        <w:t>Bc.</w:t>
      </w:r>
      <w:r w:rsidR="00AB586B">
        <w:t xml:space="preserve"> </w:t>
      </w:r>
      <w:r>
        <w:t>Robert Stržínek v. r.</w:t>
      </w:r>
    </w:p>
    <w:p w:rsidR="00F84F51" w:rsidRDefault="00D05DD4" w:rsidP="00F84F51">
      <w:pPr>
        <w:pStyle w:val="Zkladntext1"/>
        <w:spacing w:after="0"/>
        <w:ind w:right="-147"/>
      </w:pPr>
      <w:r>
        <w:t xml:space="preserve">     m</w:t>
      </w:r>
      <w:r w:rsidR="00F84F51">
        <w:t>ístostarosta</w:t>
      </w:r>
      <w:r w:rsidR="00F84F51">
        <w:tab/>
      </w:r>
      <w:r w:rsidR="00F84F51">
        <w:tab/>
        <w:t>starosta</w:t>
      </w:r>
    </w:p>
    <w:p w:rsidR="0064772C" w:rsidRDefault="0064772C" w:rsidP="00F84F51">
      <w:pPr>
        <w:pStyle w:val="Zkladntext1"/>
        <w:spacing w:after="0"/>
        <w:ind w:right="-147"/>
      </w:pPr>
    </w:p>
    <w:p w:rsidR="0064772C" w:rsidRDefault="0064772C" w:rsidP="00F84F51">
      <w:pPr>
        <w:pStyle w:val="Zkladntext1"/>
        <w:spacing w:after="0"/>
        <w:ind w:right="-147"/>
      </w:pPr>
    </w:p>
    <w:p w:rsidR="0064772C" w:rsidRDefault="0064772C" w:rsidP="00F84F51">
      <w:pPr>
        <w:pStyle w:val="Zkladntext1"/>
        <w:spacing w:after="0"/>
        <w:ind w:right="-147"/>
      </w:pPr>
      <w:r>
        <w:t xml:space="preserve">Vyvěšeno na úřední desce dne: </w:t>
      </w:r>
      <w:r w:rsidR="00894240">
        <w:t>9. 3. 2015</w:t>
      </w:r>
    </w:p>
    <w:p w:rsidR="0064772C" w:rsidRDefault="0064772C" w:rsidP="00F84F51">
      <w:pPr>
        <w:pStyle w:val="Zkladntext1"/>
        <w:spacing w:after="0"/>
        <w:ind w:right="-147"/>
      </w:pPr>
      <w:r>
        <w:t>Sejmuto z úřední desky dne:</w:t>
      </w:r>
      <w:r w:rsidR="00894240">
        <w:t xml:space="preserve"> 27. 3. 2015</w:t>
      </w:r>
      <w:r>
        <w:t xml:space="preserve"> </w:t>
      </w:r>
    </w:p>
    <w:p w:rsidR="0064772C" w:rsidRDefault="0064772C" w:rsidP="00F84F51">
      <w:pPr>
        <w:pStyle w:val="Zkladntext1"/>
        <w:spacing w:after="0"/>
        <w:ind w:right="-147"/>
        <w:rPr>
          <w:sz w:val="24"/>
          <w:szCs w:val="24"/>
        </w:rPr>
        <w:sectPr w:rsidR="0064772C">
          <w:type w:val="continuous"/>
          <w:pgSz w:w="11900" w:h="16840"/>
          <w:pgMar w:top="1074" w:right="1449" w:bottom="0" w:left="1314" w:header="0" w:footer="3" w:gutter="0"/>
          <w:cols w:num="2" w:space="641"/>
          <w:noEndnote/>
          <w:docGrid w:linePitch="360"/>
        </w:sectPr>
      </w:pPr>
    </w:p>
    <w:p w:rsidR="00367AD1" w:rsidRPr="00D05DD4" w:rsidRDefault="00503B8D">
      <w:pPr>
        <w:pStyle w:val="Nadpis10"/>
        <w:keepNext/>
        <w:keepLines/>
        <w:rPr>
          <w:b/>
        </w:rPr>
      </w:pPr>
      <w:bookmarkStart w:id="1" w:name="bookmark0"/>
      <w:r w:rsidRPr="00D05DD4">
        <w:rPr>
          <w:b/>
        </w:rPr>
        <w:lastRenderedPageBreak/>
        <w:t>Příloha č. 1 k Obecně závazné vyhlášce č. 1/2015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1"/>
        <w:gridCol w:w="5245"/>
        <w:gridCol w:w="2207"/>
      </w:tblGrid>
      <w:tr w:rsidR="00367AD1">
        <w:trPr>
          <w:trHeight w:hRule="exact" w:val="121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AD1" w:rsidRDefault="00503B8D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pořadové </w:t>
            </w:r>
            <w:r w:rsidR="00D05DD4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AD1" w:rsidRDefault="00503B8D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ulice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D1" w:rsidRDefault="00503B8D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číslo </w:t>
            </w:r>
            <w:r w:rsidR="00D05DD4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popisné</w:t>
            </w:r>
          </w:p>
        </w:tc>
      </w:tr>
      <w:tr w:rsidR="00367AD1">
        <w:trPr>
          <w:trHeight w:hRule="exact" w:val="56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Zdeňka Fibicha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67AD1">
        <w:trPr>
          <w:trHeight w:hRule="exact" w:val="5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Poláškova</w:t>
            </w:r>
          </w:p>
          <w:p w:rsidR="00367AD1" w:rsidRDefault="00503B8D">
            <w:pPr>
              <w:pStyle w:val="Jin0"/>
              <w:spacing w:after="0"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367AD1">
        <w:trPr>
          <w:trHeight w:hRule="exact" w:val="56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Pospíšilova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67AD1">
        <w:trPr>
          <w:trHeight w:hRule="exact" w:val="56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Vsetínská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</w:tc>
      </w:tr>
      <w:tr w:rsidR="00367AD1">
        <w:trPr>
          <w:trHeight w:hRule="exact" w:val="55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Luční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367AD1">
        <w:trPr>
          <w:trHeight w:hRule="exact" w:val="55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Zašovská</w:t>
            </w:r>
          </w:p>
          <w:p w:rsidR="00367AD1" w:rsidRDefault="00503B8D">
            <w:pPr>
              <w:pStyle w:val="Jin0"/>
              <w:spacing w:after="0" w:line="23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  <w:tr w:rsidR="00367AD1">
        <w:trPr>
          <w:trHeight w:hRule="exact" w:val="60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Zašovská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367AD1">
        <w:trPr>
          <w:trHeight w:hRule="exact" w:val="55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Mostní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</w:tr>
      <w:tr w:rsidR="00367AD1">
        <w:trPr>
          <w:trHeight w:hRule="exact" w:val="56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Mírová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</w:tr>
      <w:tr w:rsidR="00367AD1">
        <w:trPr>
          <w:trHeight w:hRule="exact" w:val="62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Zašovská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</w:tr>
      <w:tr w:rsidR="00367AD1">
        <w:trPr>
          <w:trHeight w:hRule="exact" w:val="55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Sokolská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</w:t>
            </w:r>
          </w:p>
        </w:tc>
      </w:tr>
      <w:tr w:rsidR="00367AD1">
        <w:trPr>
          <w:trHeight w:hRule="exact" w:val="55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Štěpánov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</w:tr>
      <w:tr w:rsidR="00367AD1">
        <w:trPr>
          <w:trHeight w:hRule="exact" w:val="56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Nádražní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367AD1">
        <w:trPr>
          <w:trHeight w:hRule="exact" w:val="55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Tržnici (budova na parcele parc.č.: </w:t>
            </w:r>
            <w:r>
              <w:rPr>
                <w:sz w:val="24"/>
                <w:szCs w:val="24"/>
                <w:lang w:val="en-US" w:eastAsia="en-US" w:bidi="en-US"/>
              </w:rPr>
              <w:t xml:space="preserve">st. </w:t>
            </w:r>
            <w:r>
              <w:rPr>
                <w:sz w:val="24"/>
                <w:szCs w:val="24"/>
              </w:rPr>
              <w:t>1516/4) Valašské Meziříčí; k.ú. Krásno nad Bečvou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čísla popisného</w:t>
            </w:r>
          </w:p>
        </w:tc>
      </w:tr>
      <w:tr w:rsidR="00367AD1">
        <w:trPr>
          <w:trHeight w:hRule="exact" w:val="562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Jičínská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</w:tr>
      <w:tr w:rsidR="00367AD1">
        <w:trPr>
          <w:trHeight w:hRule="exact" w:val="55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Mostní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367AD1">
        <w:trPr>
          <w:trHeight w:hRule="exact" w:val="62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Křižná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9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67AD1">
        <w:trPr>
          <w:trHeight w:hRule="exact" w:val="608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Havlíčkova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367AD1">
        <w:trPr>
          <w:trHeight w:hRule="exact" w:val="62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Štěpánov</w:t>
            </w:r>
          </w:p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</w:tr>
      <w:tr w:rsidR="00367AD1">
        <w:trPr>
          <w:trHeight w:hRule="exact" w:val="63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AD1" w:rsidRDefault="00503B8D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Křižná</w:t>
            </w:r>
          </w:p>
          <w:p w:rsidR="00367AD1" w:rsidRDefault="00503B8D">
            <w:pPr>
              <w:pStyle w:val="Jin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Valašské Meziříčí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D1" w:rsidRDefault="00503B8D" w:rsidP="00D05DD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</w:tr>
    </w:tbl>
    <w:p w:rsidR="00154ABE" w:rsidRDefault="00154ABE"/>
    <w:sectPr w:rsidR="00154ABE">
      <w:pgSz w:w="11900" w:h="16840"/>
      <w:pgMar w:top="1911" w:right="1724" w:bottom="1113" w:left="1223" w:header="148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C5" w:rsidRDefault="00CC57C5">
      <w:r>
        <w:separator/>
      </w:r>
    </w:p>
  </w:endnote>
  <w:endnote w:type="continuationSeparator" w:id="0">
    <w:p w:rsidR="00CC57C5" w:rsidRDefault="00CC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C5" w:rsidRDefault="00CC57C5"/>
  </w:footnote>
  <w:footnote w:type="continuationSeparator" w:id="0">
    <w:p w:rsidR="00CC57C5" w:rsidRDefault="00CC57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161C8"/>
    <w:multiLevelType w:val="multilevel"/>
    <w:tmpl w:val="F190BF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D1"/>
    <w:rsid w:val="00154ABE"/>
    <w:rsid w:val="0026382C"/>
    <w:rsid w:val="002B02AC"/>
    <w:rsid w:val="00367AD1"/>
    <w:rsid w:val="00450D6C"/>
    <w:rsid w:val="00503B8D"/>
    <w:rsid w:val="0064772C"/>
    <w:rsid w:val="00857973"/>
    <w:rsid w:val="00894240"/>
    <w:rsid w:val="009D45E5"/>
    <w:rsid w:val="009F5B86"/>
    <w:rsid w:val="00AB586B"/>
    <w:rsid w:val="00CC57C5"/>
    <w:rsid w:val="00D05DD4"/>
    <w:rsid w:val="00F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46F1A-3FA7-4C55-9943-4126614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Candara" w:eastAsia="Candara" w:hAnsi="Candara" w:cs="Candar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360" w:line="204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160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Jin0">
    <w:name w:val="Jiné"/>
    <w:basedOn w:val="Normln"/>
    <w:link w:val="Jin"/>
    <w:pPr>
      <w:spacing w:after="120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D45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5E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D45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5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Krečmerová Ester</dc:creator>
  <cp:lastModifiedBy>Schlauchová Iveta</cp:lastModifiedBy>
  <cp:revision>9</cp:revision>
  <dcterms:created xsi:type="dcterms:W3CDTF">2022-01-12T14:16:00Z</dcterms:created>
  <dcterms:modified xsi:type="dcterms:W3CDTF">2022-03-11T08:09:00Z</dcterms:modified>
</cp:coreProperties>
</file>