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37FE6" w14:textId="1D1B50B8" w:rsidR="00442208" w:rsidRDefault="00516405" w:rsidP="00516405">
      <w:pPr>
        <w:pStyle w:val="Bezmezer"/>
        <w:jc w:val="center"/>
        <w:rPr>
          <w:b/>
          <w:bCs/>
          <w:sz w:val="28"/>
          <w:szCs w:val="28"/>
        </w:rPr>
      </w:pPr>
      <w:r w:rsidRPr="00516405">
        <w:rPr>
          <w:b/>
          <w:bCs/>
          <w:sz w:val="28"/>
          <w:szCs w:val="28"/>
        </w:rPr>
        <w:t>Nařízení obce Boseň č. 3/2024</w:t>
      </w:r>
    </w:p>
    <w:p w14:paraId="27D9D6E0" w14:textId="77777777" w:rsidR="00516405" w:rsidRPr="00516405" w:rsidRDefault="00516405" w:rsidP="00516405">
      <w:pPr>
        <w:pStyle w:val="Bezmezer"/>
        <w:jc w:val="center"/>
        <w:rPr>
          <w:b/>
          <w:bCs/>
          <w:sz w:val="18"/>
          <w:szCs w:val="18"/>
        </w:rPr>
      </w:pPr>
    </w:p>
    <w:p w14:paraId="24EF3F42" w14:textId="6D0A4E61" w:rsidR="00516405" w:rsidRDefault="00516405" w:rsidP="00516405">
      <w:pPr>
        <w:pStyle w:val="Bezmezer"/>
        <w:jc w:val="center"/>
        <w:rPr>
          <w:b/>
          <w:bCs/>
          <w:sz w:val="24"/>
          <w:szCs w:val="24"/>
        </w:rPr>
      </w:pPr>
      <w:r>
        <w:rPr>
          <w:b/>
          <w:bCs/>
          <w:sz w:val="24"/>
          <w:szCs w:val="24"/>
        </w:rPr>
        <w:t>o placeném stání silničních motorových vozidel na vymezených místních komunikacích v obci Boseň</w:t>
      </w:r>
    </w:p>
    <w:p w14:paraId="1D6BB58B" w14:textId="77777777" w:rsidR="00516405" w:rsidRDefault="00516405" w:rsidP="00516405">
      <w:pPr>
        <w:pStyle w:val="Bezmezer"/>
        <w:jc w:val="center"/>
        <w:rPr>
          <w:b/>
          <w:bCs/>
          <w:sz w:val="24"/>
          <w:szCs w:val="24"/>
        </w:rPr>
      </w:pPr>
    </w:p>
    <w:p w14:paraId="1E2875C1" w14:textId="77777777" w:rsidR="00516405" w:rsidRDefault="00516405" w:rsidP="00516405">
      <w:pPr>
        <w:pStyle w:val="Bezmezer"/>
        <w:jc w:val="center"/>
        <w:rPr>
          <w:b/>
          <w:bCs/>
          <w:sz w:val="24"/>
          <w:szCs w:val="24"/>
        </w:rPr>
      </w:pPr>
    </w:p>
    <w:p w14:paraId="00C71297" w14:textId="0A194919" w:rsidR="00516405" w:rsidRDefault="00516405" w:rsidP="00516405">
      <w:pPr>
        <w:pStyle w:val="Bezmezer"/>
        <w:jc w:val="both"/>
      </w:pPr>
      <w:r>
        <w:t>Zastupitelstvo obce Boseň se na svém jednání dne 17.12.2024, usnesením č. 12/2024, usneslo vydat, na základě § 23 odst. 1 písm. a) a písm. c) zákona č. 13/1997 Sb., o pozemních komunikacích, ve znění pozdějších předpisů, a v souladu s § 11 odst. 1 a § 102 odst. 4 zákona č. 128/2000 Sb., o obcích, ve znění pozdějších předpisů, vydat toto nařízení:</w:t>
      </w:r>
    </w:p>
    <w:p w14:paraId="7319FFD9" w14:textId="77777777" w:rsidR="00516405" w:rsidRDefault="00516405" w:rsidP="00516405">
      <w:pPr>
        <w:pStyle w:val="Bezmezer"/>
        <w:jc w:val="both"/>
      </w:pPr>
    </w:p>
    <w:p w14:paraId="0C94A35F" w14:textId="77777777" w:rsidR="00516405" w:rsidRDefault="00516405" w:rsidP="00516405">
      <w:pPr>
        <w:pStyle w:val="Bezmezer"/>
        <w:jc w:val="both"/>
      </w:pPr>
    </w:p>
    <w:p w14:paraId="2B614207" w14:textId="070F89C4" w:rsidR="00516405" w:rsidRDefault="00516405" w:rsidP="00516405">
      <w:pPr>
        <w:pStyle w:val="Bezmezer"/>
        <w:jc w:val="center"/>
        <w:rPr>
          <w:b/>
          <w:bCs/>
        </w:rPr>
      </w:pPr>
      <w:r>
        <w:rPr>
          <w:b/>
          <w:bCs/>
        </w:rPr>
        <w:t>Čl. 1</w:t>
      </w:r>
    </w:p>
    <w:p w14:paraId="71EBE5F5" w14:textId="325515AD" w:rsidR="00516405" w:rsidRDefault="00516405" w:rsidP="00516405">
      <w:pPr>
        <w:pStyle w:val="Bezmezer"/>
        <w:jc w:val="center"/>
        <w:rPr>
          <w:b/>
          <w:bCs/>
        </w:rPr>
      </w:pPr>
      <w:r>
        <w:rPr>
          <w:b/>
          <w:bCs/>
        </w:rPr>
        <w:t>Obecná ustanovení</w:t>
      </w:r>
    </w:p>
    <w:p w14:paraId="38FB479A" w14:textId="77777777" w:rsidR="00516405" w:rsidRPr="00A4290B" w:rsidRDefault="00516405" w:rsidP="00516405">
      <w:pPr>
        <w:pStyle w:val="Bezmezer"/>
        <w:jc w:val="center"/>
        <w:rPr>
          <w:b/>
          <w:bCs/>
          <w:sz w:val="10"/>
          <w:szCs w:val="10"/>
        </w:rPr>
      </w:pPr>
    </w:p>
    <w:p w14:paraId="06CB20CE" w14:textId="7E80AABE" w:rsidR="00516405" w:rsidRDefault="00516405" w:rsidP="00516405">
      <w:pPr>
        <w:pStyle w:val="Bezmezer"/>
        <w:numPr>
          <w:ilvl w:val="0"/>
          <w:numId w:val="1"/>
        </w:numPr>
        <w:jc w:val="both"/>
      </w:pPr>
      <w:r>
        <w:t>Toto nařízení vymezuje místní komunikace nebo jejich úsek (dále jen „vymezené komunikace“ nebo „vymezená oblast“), které lze užít za cenu sjednanou v souladu s cenovými předpisy a stanovenou v Ceníku úhrady za pořízení parkovacího lístku (dále jen „ceník“) ke stání silničního motorového vozidla.</w:t>
      </w:r>
    </w:p>
    <w:p w14:paraId="45035014" w14:textId="77777777" w:rsidR="00516405" w:rsidRPr="008C4D47" w:rsidRDefault="00516405" w:rsidP="00516405">
      <w:pPr>
        <w:pStyle w:val="Bezmezer"/>
        <w:ind w:left="360"/>
        <w:jc w:val="both"/>
        <w:rPr>
          <w:sz w:val="10"/>
          <w:szCs w:val="10"/>
        </w:rPr>
      </w:pPr>
    </w:p>
    <w:p w14:paraId="1D75CE2E" w14:textId="2D4671C9" w:rsidR="00516405" w:rsidRDefault="00516405" w:rsidP="00516405">
      <w:pPr>
        <w:pStyle w:val="Bezmezer"/>
        <w:numPr>
          <w:ilvl w:val="0"/>
          <w:numId w:val="1"/>
        </w:numPr>
        <w:jc w:val="both"/>
      </w:pPr>
      <w:r>
        <w:t>Vymezenými komunikacemi (oblastmi) v obci Boseň jsou:</w:t>
      </w:r>
    </w:p>
    <w:p w14:paraId="355031E0" w14:textId="03E80B06" w:rsidR="00516405" w:rsidRDefault="008C4D47" w:rsidP="00516405">
      <w:pPr>
        <w:pStyle w:val="Bezmezer"/>
        <w:numPr>
          <w:ilvl w:val="0"/>
          <w:numId w:val="2"/>
        </w:numPr>
        <w:jc w:val="both"/>
      </w:pPr>
      <w:r>
        <w:t>p</w:t>
      </w:r>
      <w:r w:rsidR="00516405">
        <w:t>arkoviště na pozemku p.č. 416/11 o výměře 3.254 m</w:t>
      </w:r>
      <w:r w:rsidR="00516405">
        <w:rPr>
          <w:vertAlign w:val="superscript"/>
        </w:rPr>
        <w:t>2</w:t>
      </w:r>
      <w:r w:rsidR="00516405">
        <w:t xml:space="preserve"> v obci Boseň a k.ú. Boseň zapsaný na LV č. 10001</w:t>
      </w:r>
      <w:r>
        <w:t xml:space="preserve"> u Katastrálního úřadu pro Středočeský kraj, KP Mladá Boleslav pro obec Boseň a k.ú. Boseň (parkoviště pod hradem Valečov).</w:t>
      </w:r>
    </w:p>
    <w:p w14:paraId="7A5293CB" w14:textId="77FBA085" w:rsidR="008C4D47" w:rsidRDefault="008C4D47" w:rsidP="00516405">
      <w:pPr>
        <w:pStyle w:val="Bezmezer"/>
        <w:numPr>
          <w:ilvl w:val="0"/>
          <w:numId w:val="2"/>
        </w:numPr>
        <w:jc w:val="both"/>
      </w:pPr>
      <w:r>
        <w:t>parkoviště na pozemku p.č. 252 o výměře 1.687 m</w:t>
      </w:r>
      <w:r>
        <w:rPr>
          <w:vertAlign w:val="superscript"/>
        </w:rPr>
        <w:t xml:space="preserve">2 </w:t>
      </w:r>
      <w:r>
        <w:t>v obci Boseň, místní část Mužský a k.ú. Mužský zapsaný na LV č. 10001 u Katastrálního úřadu pro Středočeský kraj, KP Mladá Boleslav pro obec Boseň a k.ú. Mužský (parkoviště na Mužském).</w:t>
      </w:r>
    </w:p>
    <w:p w14:paraId="324CDF60" w14:textId="77777777" w:rsidR="008C4D47" w:rsidRPr="008C4D47" w:rsidRDefault="008C4D47" w:rsidP="008C4D47">
      <w:pPr>
        <w:pStyle w:val="Bezmezer"/>
        <w:jc w:val="both"/>
        <w:rPr>
          <w:sz w:val="10"/>
          <w:szCs w:val="10"/>
        </w:rPr>
      </w:pPr>
    </w:p>
    <w:p w14:paraId="1E66477E" w14:textId="4B2F2C4B" w:rsidR="008C4D47" w:rsidRDefault="008C4D47" w:rsidP="008C4D47">
      <w:pPr>
        <w:pStyle w:val="Bezmezer"/>
        <w:numPr>
          <w:ilvl w:val="0"/>
          <w:numId w:val="1"/>
        </w:numPr>
        <w:jc w:val="both"/>
      </w:pPr>
      <w:r>
        <w:t>Vymezené komunikace ke stání silničních motorových vozidel na dobu časově omezenou jsou označeny dopravní značkou IP 13 c – parkoviště s parkovacím automatem.</w:t>
      </w:r>
    </w:p>
    <w:p w14:paraId="06F6FA67" w14:textId="77777777" w:rsidR="008C4D47" w:rsidRPr="008C4D47" w:rsidRDefault="008C4D47" w:rsidP="008C4D47">
      <w:pPr>
        <w:pStyle w:val="Bezmezer"/>
        <w:ind w:left="720"/>
        <w:jc w:val="both"/>
        <w:rPr>
          <w:sz w:val="10"/>
          <w:szCs w:val="10"/>
        </w:rPr>
      </w:pPr>
    </w:p>
    <w:p w14:paraId="3E892085" w14:textId="660889A0" w:rsidR="008C4D47" w:rsidRDefault="008C4D47" w:rsidP="003C3EB5">
      <w:pPr>
        <w:pStyle w:val="Bezmezer"/>
        <w:numPr>
          <w:ilvl w:val="0"/>
          <w:numId w:val="1"/>
        </w:numPr>
        <w:jc w:val="both"/>
      </w:pPr>
      <w:r>
        <w:t>Vymezené komunikace jsou území, kde lze v místech vyhrazených a označených dopravními značkami parkovat na dobu časově omezenou, nejvýše však na dobu 24 hodin. Parkování na těchto místech v časových úsecích uvedených v čl. 1 odst. 2 tohoto nařízení je možné pouze za úhradu ceny sjednané v souladu s cenovými předpisy a stanovenou v ceníku zaplacené obci Boseň.</w:t>
      </w:r>
    </w:p>
    <w:p w14:paraId="12077306" w14:textId="77777777" w:rsidR="003C3EB5" w:rsidRPr="003C3EB5" w:rsidRDefault="003C3EB5" w:rsidP="003C3EB5">
      <w:pPr>
        <w:pStyle w:val="Bezmezer"/>
        <w:jc w:val="both"/>
        <w:rPr>
          <w:sz w:val="10"/>
          <w:szCs w:val="10"/>
        </w:rPr>
      </w:pPr>
    </w:p>
    <w:p w14:paraId="242AF82D" w14:textId="13B4520C" w:rsidR="003C3EB5" w:rsidRDefault="008C4D47" w:rsidP="003C3EB5">
      <w:pPr>
        <w:pStyle w:val="Bezmezer"/>
        <w:numPr>
          <w:ilvl w:val="0"/>
          <w:numId w:val="1"/>
        </w:numPr>
        <w:jc w:val="both"/>
      </w:pPr>
      <w:r>
        <w:t>Na vymezených komunikacích označených dle čl. 1 odst. 3</w:t>
      </w:r>
      <w:r w:rsidR="003C3EB5">
        <w:t xml:space="preserve"> tohoto nařízení je povoleno stání všem silničním motorovým vozidlům po zaplacení ceny za parkování na celou dobu státní prostřednictvím parkovacího automatu (platba mincemi a platebními kartami) nebo platbou přes mobilní aplikaci.</w:t>
      </w:r>
    </w:p>
    <w:p w14:paraId="5EA59A30" w14:textId="77777777" w:rsidR="003C3EB5" w:rsidRPr="003C3EB5" w:rsidRDefault="003C3EB5" w:rsidP="003C3EB5">
      <w:pPr>
        <w:pStyle w:val="Bezmezer"/>
        <w:jc w:val="both"/>
        <w:rPr>
          <w:sz w:val="10"/>
          <w:szCs w:val="10"/>
        </w:rPr>
      </w:pPr>
    </w:p>
    <w:p w14:paraId="050ECF14" w14:textId="5860B1C7" w:rsidR="003C3EB5" w:rsidRDefault="003C3EB5" w:rsidP="008C4D47">
      <w:pPr>
        <w:pStyle w:val="Bezmezer"/>
        <w:numPr>
          <w:ilvl w:val="0"/>
          <w:numId w:val="1"/>
        </w:numPr>
        <w:jc w:val="both"/>
      </w:pPr>
      <w:r>
        <w:t>Vybíráním ceny parkovného je pověřen smluvní operátor Městské parkovací domy Mladá Boleslav s.r.o., IČ: 27880834.</w:t>
      </w:r>
    </w:p>
    <w:p w14:paraId="1E3AE6FF" w14:textId="77777777" w:rsidR="003C3EB5" w:rsidRDefault="003C3EB5" w:rsidP="003C3EB5">
      <w:pPr>
        <w:pStyle w:val="Odstavecseseznamem"/>
      </w:pPr>
    </w:p>
    <w:p w14:paraId="3A490468" w14:textId="681535FE" w:rsidR="003C3EB5" w:rsidRPr="003C3EB5" w:rsidRDefault="003C3EB5" w:rsidP="003C3EB5">
      <w:pPr>
        <w:pStyle w:val="Bezmezer"/>
        <w:jc w:val="center"/>
        <w:rPr>
          <w:b/>
          <w:bCs/>
        </w:rPr>
      </w:pPr>
      <w:r w:rsidRPr="003C3EB5">
        <w:rPr>
          <w:b/>
          <w:bCs/>
        </w:rPr>
        <w:t>Čl. 2</w:t>
      </w:r>
    </w:p>
    <w:p w14:paraId="79444FFC" w14:textId="2D7251B5" w:rsidR="003C3EB5" w:rsidRDefault="003C3EB5" w:rsidP="003C3EB5">
      <w:pPr>
        <w:pStyle w:val="Bezmezer"/>
        <w:jc w:val="center"/>
        <w:rPr>
          <w:b/>
          <w:bCs/>
        </w:rPr>
      </w:pPr>
      <w:r w:rsidRPr="003C3EB5">
        <w:rPr>
          <w:b/>
          <w:bCs/>
        </w:rPr>
        <w:t>Období zpoplatněného stání</w:t>
      </w:r>
    </w:p>
    <w:p w14:paraId="6764F279" w14:textId="77777777" w:rsidR="003C3EB5" w:rsidRPr="00A4290B" w:rsidRDefault="003C3EB5" w:rsidP="003C3EB5">
      <w:pPr>
        <w:pStyle w:val="Bezmezer"/>
        <w:jc w:val="center"/>
        <w:rPr>
          <w:b/>
          <w:bCs/>
          <w:sz w:val="10"/>
          <w:szCs w:val="10"/>
        </w:rPr>
      </w:pPr>
    </w:p>
    <w:p w14:paraId="52B1683C" w14:textId="12F49B38" w:rsidR="003C3EB5" w:rsidRPr="003E5A5C" w:rsidRDefault="003C3EB5" w:rsidP="003C3EB5">
      <w:pPr>
        <w:pStyle w:val="Bezmezer"/>
        <w:numPr>
          <w:ilvl w:val="0"/>
          <w:numId w:val="3"/>
        </w:numPr>
        <w:jc w:val="both"/>
      </w:pPr>
      <w:r>
        <w:t xml:space="preserve">Parkování na vymezených komunikacích uvedených v čl.1, odst. 2 a), b) je zpoplatněno v období od 1.1. do 31.12. a to v pracovních dnech, o víkendech i státních svátcích mezi </w:t>
      </w:r>
      <w:r w:rsidR="003E5A5C" w:rsidRPr="003E5A5C">
        <w:t>00:</w:t>
      </w:r>
      <w:proofErr w:type="gramStart"/>
      <w:r w:rsidR="003E5A5C" w:rsidRPr="003E5A5C">
        <w:t>00</w:t>
      </w:r>
      <w:r w:rsidR="003E5A5C">
        <w:t xml:space="preserve">  hod.</w:t>
      </w:r>
      <w:proofErr w:type="gramEnd"/>
      <w:r w:rsidR="003E5A5C">
        <w:t>– 23:59 hod.</w:t>
      </w:r>
    </w:p>
    <w:p w14:paraId="0CAFCF7F" w14:textId="77777777" w:rsidR="003C3EB5" w:rsidRPr="003E5A5C" w:rsidRDefault="003C3EB5" w:rsidP="003C3EB5">
      <w:pPr>
        <w:pStyle w:val="Bezmezer"/>
        <w:jc w:val="both"/>
      </w:pPr>
    </w:p>
    <w:p w14:paraId="607A557D" w14:textId="77777777" w:rsidR="003C3EB5" w:rsidRDefault="003C3EB5" w:rsidP="003C3EB5">
      <w:pPr>
        <w:pStyle w:val="Bezmezer"/>
        <w:jc w:val="both"/>
        <w:rPr>
          <w:color w:val="FF0000"/>
        </w:rPr>
      </w:pPr>
    </w:p>
    <w:p w14:paraId="21B7A435" w14:textId="6C2DC374" w:rsidR="003C3EB5" w:rsidRDefault="003C3EB5" w:rsidP="003C3EB5">
      <w:pPr>
        <w:pStyle w:val="Bezmezer"/>
        <w:jc w:val="center"/>
        <w:rPr>
          <w:b/>
          <w:bCs/>
        </w:rPr>
      </w:pPr>
      <w:r>
        <w:rPr>
          <w:b/>
          <w:bCs/>
        </w:rPr>
        <w:t>Čl. 3</w:t>
      </w:r>
    </w:p>
    <w:p w14:paraId="296A469F" w14:textId="130FA100" w:rsidR="003C3EB5" w:rsidRDefault="003C3EB5" w:rsidP="003C3EB5">
      <w:pPr>
        <w:pStyle w:val="Bezmezer"/>
        <w:jc w:val="center"/>
        <w:rPr>
          <w:b/>
          <w:bCs/>
        </w:rPr>
      </w:pPr>
      <w:r>
        <w:rPr>
          <w:b/>
          <w:bCs/>
        </w:rPr>
        <w:t>Prokázání zaplacené sjednané ceny</w:t>
      </w:r>
    </w:p>
    <w:p w14:paraId="728D1D30" w14:textId="77777777" w:rsidR="003C3EB5" w:rsidRPr="00A4290B" w:rsidRDefault="003C3EB5" w:rsidP="003C3EB5">
      <w:pPr>
        <w:pStyle w:val="Bezmezer"/>
        <w:jc w:val="center"/>
        <w:rPr>
          <w:b/>
          <w:bCs/>
          <w:sz w:val="10"/>
          <w:szCs w:val="10"/>
        </w:rPr>
      </w:pPr>
    </w:p>
    <w:p w14:paraId="2F3E820F" w14:textId="21A94A59" w:rsidR="003C3EB5" w:rsidRDefault="003C3EB5" w:rsidP="003C3EB5">
      <w:pPr>
        <w:pStyle w:val="Bezmezer"/>
        <w:numPr>
          <w:ilvl w:val="0"/>
          <w:numId w:val="4"/>
        </w:numPr>
        <w:jc w:val="both"/>
      </w:pPr>
      <w:r>
        <w:t>Zaplacení sjednané ceny se prokazuje umístěním platného parkovacího lístku po celou dobu stání silničního motorového vozidla na viditelném místě za předním sklem vozidla tak, aby byly veškeré údaje uvedené na tomto dokladu čitelné z vnějšku vozidla.</w:t>
      </w:r>
    </w:p>
    <w:p w14:paraId="4AC54D14" w14:textId="77777777" w:rsidR="00A4290B" w:rsidRPr="00A4290B" w:rsidRDefault="00A4290B" w:rsidP="00A4290B">
      <w:pPr>
        <w:pStyle w:val="Bezmezer"/>
        <w:ind w:left="720"/>
        <w:jc w:val="both"/>
        <w:rPr>
          <w:sz w:val="10"/>
          <w:szCs w:val="10"/>
        </w:rPr>
      </w:pPr>
    </w:p>
    <w:p w14:paraId="721C6381" w14:textId="0398270A" w:rsidR="003C3EB5" w:rsidRDefault="00A4290B" w:rsidP="003C3EB5">
      <w:pPr>
        <w:pStyle w:val="Bezmezer"/>
        <w:numPr>
          <w:ilvl w:val="0"/>
          <w:numId w:val="4"/>
        </w:numPr>
        <w:jc w:val="both"/>
      </w:pPr>
      <w:r>
        <w:t>U motorových vozidel (např. motocykly, čtyřkolky), u kterých uvedené viditelné umístění dokladu není možné, je řidič zaparkovaného vozidla povinen doklad uschovat u sebe po celou dobu stání tak, aby v případě kontroly úhrady sjednané ceny oprávněnou osobou mohl tuto úhradu bezodkladně prokázat.</w:t>
      </w:r>
    </w:p>
    <w:p w14:paraId="5A0DC939" w14:textId="77777777" w:rsidR="00A4290B" w:rsidRDefault="00A4290B" w:rsidP="00A4290B">
      <w:pPr>
        <w:pStyle w:val="Odstavecseseznamem"/>
      </w:pPr>
    </w:p>
    <w:p w14:paraId="0B525191" w14:textId="5045AA21" w:rsidR="00A4290B" w:rsidRDefault="00A4290B" w:rsidP="00A4290B">
      <w:pPr>
        <w:pStyle w:val="Bezmezer"/>
        <w:numPr>
          <w:ilvl w:val="0"/>
          <w:numId w:val="4"/>
        </w:numPr>
        <w:jc w:val="both"/>
      </w:pPr>
      <w:r>
        <w:t>V případě platby sjednané ceny pomocí mobilní aplikace (při platbě není vydán parkovací lístek) je zaplacení sjednané ceny prokazatelné přes elektronický evidenční systém.</w:t>
      </w:r>
    </w:p>
    <w:p w14:paraId="3CB8744C" w14:textId="40F1A232" w:rsidR="00A4290B" w:rsidRPr="00A4290B" w:rsidRDefault="00A4290B" w:rsidP="00A4290B">
      <w:pPr>
        <w:pStyle w:val="Bezmezer"/>
        <w:ind w:left="720"/>
        <w:jc w:val="center"/>
        <w:rPr>
          <w:b/>
          <w:bCs/>
        </w:rPr>
      </w:pPr>
      <w:r w:rsidRPr="00A4290B">
        <w:rPr>
          <w:b/>
          <w:bCs/>
        </w:rPr>
        <w:lastRenderedPageBreak/>
        <w:t>Čl. 4</w:t>
      </w:r>
    </w:p>
    <w:p w14:paraId="35EA4C83" w14:textId="51412FEB" w:rsidR="00A4290B" w:rsidRDefault="00A4290B" w:rsidP="00A4290B">
      <w:pPr>
        <w:pStyle w:val="Bezmezer"/>
        <w:ind w:left="720"/>
        <w:jc w:val="center"/>
        <w:rPr>
          <w:b/>
          <w:bCs/>
        </w:rPr>
      </w:pPr>
      <w:r w:rsidRPr="00A4290B">
        <w:rPr>
          <w:b/>
          <w:bCs/>
        </w:rPr>
        <w:t>Sankce</w:t>
      </w:r>
    </w:p>
    <w:p w14:paraId="1CD4E791" w14:textId="77777777" w:rsidR="00A4290B" w:rsidRPr="00A4290B" w:rsidRDefault="00A4290B" w:rsidP="00A4290B">
      <w:pPr>
        <w:pStyle w:val="Bezmezer"/>
        <w:ind w:left="720"/>
        <w:jc w:val="center"/>
        <w:rPr>
          <w:b/>
          <w:bCs/>
          <w:sz w:val="10"/>
          <w:szCs w:val="10"/>
        </w:rPr>
      </w:pPr>
    </w:p>
    <w:p w14:paraId="3D46C2B8" w14:textId="7CFA612B" w:rsidR="00A4290B" w:rsidRDefault="00A4290B" w:rsidP="00A4290B">
      <w:pPr>
        <w:pStyle w:val="Bezmezer"/>
        <w:numPr>
          <w:ilvl w:val="0"/>
          <w:numId w:val="5"/>
        </w:numPr>
        <w:jc w:val="both"/>
      </w:pPr>
      <w:r>
        <w:t>Porušení povinností vyplývajících z tohoto nařízení bude postihováno podle zákona č. 250/2016 Sb., o odpovědnosti za přestupky a řízení o nich, ve znění pozdějších předpisů.</w:t>
      </w:r>
    </w:p>
    <w:p w14:paraId="6124C23C" w14:textId="77777777" w:rsidR="00A4290B" w:rsidRDefault="00A4290B" w:rsidP="00A4290B">
      <w:pPr>
        <w:pStyle w:val="Bezmezer"/>
        <w:ind w:left="720"/>
        <w:jc w:val="both"/>
      </w:pPr>
    </w:p>
    <w:p w14:paraId="5BC635D4" w14:textId="77777777" w:rsidR="00A4290B" w:rsidRDefault="00A4290B" w:rsidP="00A4290B">
      <w:pPr>
        <w:pStyle w:val="Bezmezer"/>
        <w:ind w:left="720"/>
        <w:jc w:val="both"/>
      </w:pPr>
    </w:p>
    <w:p w14:paraId="0916208B" w14:textId="7935DB6D" w:rsidR="00A4290B" w:rsidRPr="00A4290B" w:rsidRDefault="00A4290B" w:rsidP="00A4290B">
      <w:pPr>
        <w:pStyle w:val="Bezmezer"/>
        <w:ind w:left="720"/>
        <w:jc w:val="center"/>
        <w:rPr>
          <w:b/>
          <w:bCs/>
        </w:rPr>
      </w:pPr>
      <w:r w:rsidRPr="00A4290B">
        <w:rPr>
          <w:b/>
          <w:bCs/>
        </w:rPr>
        <w:t>Čl. 5</w:t>
      </w:r>
    </w:p>
    <w:p w14:paraId="207DD443" w14:textId="1F6A4E64" w:rsidR="00A4290B" w:rsidRDefault="00A4290B" w:rsidP="00A4290B">
      <w:pPr>
        <w:pStyle w:val="Bezmezer"/>
        <w:ind w:left="720"/>
        <w:jc w:val="center"/>
        <w:rPr>
          <w:b/>
          <w:bCs/>
        </w:rPr>
      </w:pPr>
      <w:r>
        <w:rPr>
          <w:b/>
          <w:bCs/>
        </w:rPr>
        <w:t>Zrušující ustanovení</w:t>
      </w:r>
    </w:p>
    <w:p w14:paraId="3FEB8B01" w14:textId="77777777" w:rsidR="00A4290B" w:rsidRPr="00A4290B" w:rsidRDefault="00A4290B" w:rsidP="00A4290B">
      <w:pPr>
        <w:pStyle w:val="Bezmezer"/>
        <w:ind w:left="720"/>
        <w:jc w:val="center"/>
        <w:rPr>
          <w:b/>
          <w:bCs/>
          <w:sz w:val="10"/>
          <w:szCs w:val="10"/>
        </w:rPr>
      </w:pPr>
    </w:p>
    <w:p w14:paraId="2814B74A" w14:textId="5341093C" w:rsidR="00A4290B" w:rsidRDefault="00A4290B" w:rsidP="00A4290B">
      <w:pPr>
        <w:pStyle w:val="Bezmezer"/>
        <w:ind w:left="720"/>
        <w:jc w:val="both"/>
      </w:pPr>
      <w:r>
        <w:t>Zrušuje se Nařízení obce Boseň č. 1/2023 ze dne 25.5.2023.</w:t>
      </w:r>
    </w:p>
    <w:p w14:paraId="4737FBF5" w14:textId="77777777" w:rsidR="00A4290B" w:rsidRDefault="00A4290B" w:rsidP="00A4290B">
      <w:pPr>
        <w:pStyle w:val="Bezmezer"/>
        <w:ind w:left="720"/>
        <w:jc w:val="both"/>
      </w:pPr>
    </w:p>
    <w:p w14:paraId="5CC8D37B" w14:textId="77777777" w:rsidR="00A4290B" w:rsidRDefault="00A4290B" w:rsidP="00A4290B">
      <w:pPr>
        <w:pStyle w:val="Bezmezer"/>
        <w:ind w:left="720"/>
        <w:jc w:val="both"/>
      </w:pPr>
    </w:p>
    <w:p w14:paraId="27BEF588" w14:textId="7576371D" w:rsidR="00A4290B" w:rsidRPr="00A4290B" w:rsidRDefault="00A4290B" w:rsidP="00A4290B">
      <w:pPr>
        <w:pStyle w:val="Bezmezer"/>
        <w:ind w:left="720"/>
        <w:jc w:val="center"/>
        <w:rPr>
          <w:b/>
          <w:bCs/>
        </w:rPr>
      </w:pPr>
      <w:r w:rsidRPr="00A4290B">
        <w:rPr>
          <w:b/>
          <w:bCs/>
        </w:rPr>
        <w:t>Čl. 6</w:t>
      </w:r>
    </w:p>
    <w:p w14:paraId="0B5FDD84" w14:textId="63AD2FFF" w:rsidR="00A4290B" w:rsidRDefault="00A4290B" w:rsidP="00A4290B">
      <w:pPr>
        <w:pStyle w:val="Bezmezer"/>
        <w:ind w:left="720"/>
        <w:jc w:val="center"/>
        <w:rPr>
          <w:b/>
          <w:bCs/>
        </w:rPr>
      </w:pPr>
      <w:r w:rsidRPr="00A4290B">
        <w:rPr>
          <w:b/>
          <w:bCs/>
        </w:rPr>
        <w:t>Účinnost</w:t>
      </w:r>
    </w:p>
    <w:p w14:paraId="4428696B" w14:textId="77777777" w:rsidR="00A4290B" w:rsidRPr="006D44AC" w:rsidRDefault="00A4290B" w:rsidP="00A4290B">
      <w:pPr>
        <w:pStyle w:val="Bezmezer"/>
        <w:ind w:left="720"/>
        <w:jc w:val="center"/>
        <w:rPr>
          <w:b/>
          <w:bCs/>
          <w:sz w:val="10"/>
          <w:szCs w:val="10"/>
        </w:rPr>
      </w:pPr>
    </w:p>
    <w:p w14:paraId="6F1E1B07" w14:textId="1B1005C1" w:rsidR="00A4290B" w:rsidRDefault="00A4290B" w:rsidP="00A4290B">
      <w:pPr>
        <w:pStyle w:val="Bezmezer"/>
        <w:ind w:left="720"/>
        <w:jc w:val="both"/>
      </w:pPr>
      <w:r w:rsidRPr="006D44AC">
        <w:t>Toto nařízení nabývá účinnosti dnem 1.2.2025.</w:t>
      </w:r>
    </w:p>
    <w:p w14:paraId="409BE805" w14:textId="77777777" w:rsidR="006D44AC" w:rsidRDefault="006D44AC" w:rsidP="00A4290B">
      <w:pPr>
        <w:pStyle w:val="Bezmezer"/>
        <w:ind w:left="720"/>
        <w:jc w:val="both"/>
      </w:pPr>
    </w:p>
    <w:p w14:paraId="5E47752E" w14:textId="77777777" w:rsidR="006D44AC" w:rsidRDefault="006D44AC" w:rsidP="00A4290B">
      <w:pPr>
        <w:pStyle w:val="Bezmezer"/>
        <w:ind w:left="720"/>
        <w:jc w:val="both"/>
      </w:pPr>
    </w:p>
    <w:p w14:paraId="72DB2BEF" w14:textId="77777777" w:rsidR="006D44AC" w:rsidRDefault="006D44AC" w:rsidP="00A4290B">
      <w:pPr>
        <w:pStyle w:val="Bezmezer"/>
        <w:ind w:left="720"/>
        <w:jc w:val="both"/>
      </w:pPr>
    </w:p>
    <w:p w14:paraId="4B05A0EA" w14:textId="77777777" w:rsidR="006D44AC" w:rsidRDefault="006D44AC" w:rsidP="00A4290B">
      <w:pPr>
        <w:pStyle w:val="Bezmezer"/>
        <w:ind w:left="720"/>
        <w:jc w:val="both"/>
      </w:pPr>
    </w:p>
    <w:p w14:paraId="04C8306F" w14:textId="77777777" w:rsidR="006D44AC" w:rsidRDefault="006D44AC" w:rsidP="00A4290B">
      <w:pPr>
        <w:pStyle w:val="Bezmezer"/>
        <w:ind w:left="720"/>
        <w:jc w:val="both"/>
      </w:pPr>
    </w:p>
    <w:p w14:paraId="2B430454" w14:textId="77777777" w:rsidR="006D44AC" w:rsidRDefault="006D44AC" w:rsidP="00A4290B">
      <w:pPr>
        <w:pStyle w:val="Bezmezer"/>
        <w:ind w:left="720"/>
        <w:jc w:val="both"/>
      </w:pPr>
    </w:p>
    <w:p w14:paraId="25540236" w14:textId="77777777" w:rsidR="006D44AC" w:rsidRDefault="006D44AC" w:rsidP="00A4290B">
      <w:pPr>
        <w:pStyle w:val="Bezmezer"/>
        <w:ind w:left="720"/>
        <w:jc w:val="both"/>
      </w:pPr>
    </w:p>
    <w:p w14:paraId="5B0D116E" w14:textId="77777777" w:rsidR="006D44AC" w:rsidRDefault="006D44AC" w:rsidP="00A4290B">
      <w:pPr>
        <w:pStyle w:val="Bezmezer"/>
        <w:ind w:left="720"/>
        <w:jc w:val="both"/>
      </w:pPr>
    </w:p>
    <w:p w14:paraId="255FB4AF" w14:textId="77777777" w:rsidR="006D44AC" w:rsidRDefault="006D44AC" w:rsidP="00A4290B">
      <w:pPr>
        <w:pStyle w:val="Bezmezer"/>
        <w:ind w:left="720"/>
        <w:jc w:val="both"/>
      </w:pPr>
    </w:p>
    <w:p w14:paraId="0EA7EC06" w14:textId="77777777" w:rsidR="006D44AC" w:rsidRDefault="006D44AC" w:rsidP="00A4290B">
      <w:pPr>
        <w:pStyle w:val="Bezmezer"/>
        <w:ind w:left="720"/>
        <w:jc w:val="both"/>
      </w:pPr>
    </w:p>
    <w:p w14:paraId="028D8375" w14:textId="77777777" w:rsidR="006D44AC" w:rsidRDefault="006D44AC" w:rsidP="00A4290B">
      <w:pPr>
        <w:pStyle w:val="Bezmezer"/>
        <w:ind w:left="720"/>
        <w:jc w:val="both"/>
      </w:pPr>
    </w:p>
    <w:p w14:paraId="2A5B1201" w14:textId="77777777" w:rsidR="006D44AC" w:rsidRDefault="006D44AC" w:rsidP="00A4290B">
      <w:pPr>
        <w:pStyle w:val="Bezmezer"/>
        <w:ind w:left="720"/>
        <w:jc w:val="both"/>
      </w:pPr>
    </w:p>
    <w:p w14:paraId="47FD2992" w14:textId="77777777" w:rsidR="006D44AC" w:rsidRDefault="006D44AC" w:rsidP="00A4290B">
      <w:pPr>
        <w:pStyle w:val="Bezmezer"/>
        <w:ind w:left="720"/>
        <w:jc w:val="both"/>
      </w:pPr>
    </w:p>
    <w:p w14:paraId="2450FDD8" w14:textId="75F23C8B" w:rsidR="006D44AC" w:rsidRDefault="006D44AC" w:rsidP="00A4290B">
      <w:pPr>
        <w:pStyle w:val="Bezmezer"/>
        <w:ind w:left="720"/>
        <w:jc w:val="both"/>
      </w:pPr>
      <w:r>
        <w:t>……………………………………………………………                                          ……………………………………………………………</w:t>
      </w:r>
    </w:p>
    <w:p w14:paraId="2E086B93" w14:textId="76A9D98D" w:rsidR="006D44AC" w:rsidRDefault="006D44AC" w:rsidP="00A4290B">
      <w:pPr>
        <w:pStyle w:val="Bezmezer"/>
        <w:ind w:left="720"/>
        <w:jc w:val="both"/>
      </w:pPr>
      <w:r>
        <w:t xml:space="preserve">               Hana Maudrová, v.r.                                                                             Mirolav Šorejs, v.r.</w:t>
      </w:r>
    </w:p>
    <w:p w14:paraId="7FB45CDC" w14:textId="51C13864" w:rsidR="006D44AC" w:rsidRPr="006D44AC" w:rsidRDefault="006D44AC" w:rsidP="00A4290B">
      <w:pPr>
        <w:pStyle w:val="Bezmezer"/>
        <w:ind w:left="720"/>
        <w:jc w:val="both"/>
      </w:pPr>
      <w:r>
        <w:t xml:space="preserve">                   starostka obce                                                                                   místostarosta obce</w:t>
      </w:r>
    </w:p>
    <w:sectPr w:rsidR="006D44AC" w:rsidRPr="006D44AC" w:rsidSect="005164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44D04"/>
    <w:multiLevelType w:val="hybridMultilevel"/>
    <w:tmpl w:val="0DBA1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8023E2"/>
    <w:multiLevelType w:val="hybridMultilevel"/>
    <w:tmpl w:val="2DE2BDBE"/>
    <w:lvl w:ilvl="0" w:tplc="D4FC4BF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7103BA8"/>
    <w:multiLevelType w:val="hybridMultilevel"/>
    <w:tmpl w:val="19CE7B3A"/>
    <w:lvl w:ilvl="0" w:tplc="372E47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72212A10"/>
    <w:multiLevelType w:val="hybridMultilevel"/>
    <w:tmpl w:val="FCBC5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C22AA7"/>
    <w:multiLevelType w:val="hybridMultilevel"/>
    <w:tmpl w:val="FE92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7040724">
    <w:abstractNumId w:val="3"/>
  </w:num>
  <w:num w:numId="2" w16cid:durableId="991176223">
    <w:abstractNumId w:val="2"/>
  </w:num>
  <w:num w:numId="3" w16cid:durableId="1605651066">
    <w:abstractNumId w:val="4"/>
  </w:num>
  <w:num w:numId="4" w16cid:durableId="175194125">
    <w:abstractNumId w:val="0"/>
  </w:num>
  <w:num w:numId="5" w16cid:durableId="153507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05"/>
    <w:rsid w:val="00091E59"/>
    <w:rsid w:val="000B054D"/>
    <w:rsid w:val="003C3EB5"/>
    <w:rsid w:val="003E5A5C"/>
    <w:rsid w:val="00442208"/>
    <w:rsid w:val="00516405"/>
    <w:rsid w:val="006D44AC"/>
    <w:rsid w:val="00854E8A"/>
    <w:rsid w:val="008C4D47"/>
    <w:rsid w:val="00A4290B"/>
    <w:rsid w:val="00A56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2783"/>
  <w15:chartTrackingRefBased/>
  <w15:docId w15:val="{ADFDCAE0-FC08-4B79-B9B3-B8AD67DB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16405"/>
    <w:pPr>
      <w:spacing w:after="0" w:line="240" w:lineRule="auto"/>
    </w:pPr>
  </w:style>
  <w:style w:type="paragraph" w:styleId="Odstavecseseznamem">
    <w:name w:val="List Paragraph"/>
    <w:basedOn w:val="Normln"/>
    <w:uiPriority w:val="34"/>
    <w:qFormat/>
    <w:rsid w:val="00516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572</Words>
  <Characters>3376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Mauldrová</dc:creator>
  <cp:keywords/>
  <dc:description/>
  <cp:lastModifiedBy>Hana Mauldrová</cp:lastModifiedBy>
  <cp:revision>3</cp:revision>
  <dcterms:created xsi:type="dcterms:W3CDTF">2024-12-18T06:02:00Z</dcterms:created>
  <dcterms:modified xsi:type="dcterms:W3CDTF">2024-12-18T07:35:00Z</dcterms:modified>
</cp:coreProperties>
</file>