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04E48452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CD03D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064FE9FA" w:rsidR="00455210" w:rsidRPr="00FD7DB7" w:rsidRDefault="00534F55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34F55">
              <w:rPr>
                <w:rFonts w:ascii="Times New Roman" w:hAnsi="Times New Roman"/>
              </w:rPr>
              <w:t xml:space="preserve">SZ UKZUZ </w:t>
            </w:r>
            <w:r w:rsidR="00E404EF" w:rsidRPr="00E404EF">
              <w:rPr>
                <w:rFonts w:ascii="Times New Roman" w:hAnsi="Times New Roman"/>
              </w:rPr>
              <w:t>074556/2020/22566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2ACCB2FC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CD03D1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72D0AC06" w:rsidR="00455210" w:rsidRPr="00FD7DB7" w:rsidRDefault="00143A03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43A03">
              <w:rPr>
                <w:rFonts w:ascii="Times New Roman" w:hAnsi="Times New Roman"/>
              </w:rPr>
              <w:t>UKZUZ 040137/2026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415DDE78" w:rsidR="00455210" w:rsidRPr="00455210" w:rsidRDefault="00CD03D1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E404E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7BC22FFE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E404EF">
              <w:rPr>
                <w:rFonts w:ascii="Times New Roman" w:hAnsi="Times New Roman"/>
              </w:rPr>
              <w:t>afrodyta 250 sc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5C52EE7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</w:t>
            </w:r>
            <w:r w:rsidR="00E404EF">
              <w:rPr>
                <w:rFonts w:ascii="Times New Roman" w:hAnsi="Times New Roman"/>
              </w:rPr>
              <w:t xml:space="preserve"> </w:t>
            </w:r>
            <w:r w:rsidRPr="00455210">
              <w:rPr>
                <w:rFonts w:ascii="Times New Roman" w:hAnsi="Times New Roman"/>
              </w:rPr>
              <w:t>545</w:t>
            </w:r>
            <w:r w:rsidR="00E404EF">
              <w:rPr>
                <w:rFonts w:ascii="Times New Roman" w:hAnsi="Times New Roman"/>
              </w:rPr>
              <w:t xml:space="preserve"> </w:t>
            </w:r>
            <w:r w:rsidRPr="00455210">
              <w:rPr>
                <w:rFonts w:ascii="Times New Roman" w:hAnsi="Times New Roman"/>
              </w:rPr>
              <w:t>110</w:t>
            </w:r>
            <w:r w:rsidR="00E404EF">
              <w:rPr>
                <w:rFonts w:ascii="Times New Roman" w:hAnsi="Times New Roman"/>
              </w:rPr>
              <w:t xml:space="preserve"> </w:t>
            </w:r>
            <w:r w:rsidRPr="00455210">
              <w:rPr>
                <w:rFonts w:ascii="Times New Roman" w:hAnsi="Times New Roman"/>
              </w:rPr>
              <w:t>4</w:t>
            </w:r>
            <w:r w:rsidR="00CD03D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B345B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345B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0EE90F1A" w:rsidR="00455210" w:rsidRPr="0076796B" w:rsidRDefault="0076796B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76796B">
              <w:rPr>
                <w:rFonts w:ascii="Times New Roman" w:hAnsi="Times New Roman"/>
              </w:rPr>
              <w:t>13</w:t>
            </w:r>
            <w:r w:rsidR="00E404EF" w:rsidRPr="0076796B">
              <w:rPr>
                <w:rFonts w:ascii="Times New Roman" w:hAnsi="Times New Roman"/>
              </w:rPr>
              <w:t xml:space="preserve">. </w:t>
            </w:r>
            <w:r w:rsidR="00CD03D1" w:rsidRPr="0076796B">
              <w:rPr>
                <w:rFonts w:ascii="Times New Roman" w:hAnsi="Times New Roman"/>
              </w:rPr>
              <w:t xml:space="preserve">března </w:t>
            </w:r>
            <w:r w:rsidR="00E404EF" w:rsidRPr="0076796B">
              <w:rPr>
                <w:rFonts w:ascii="Times New Roman" w:hAnsi="Times New Roman"/>
              </w:rPr>
              <w:t>202</w:t>
            </w:r>
            <w:r w:rsidR="00CD03D1" w:rsidRPr="0076796B">
              <w:rPr>
                <w:rFonts w:ascii="Times New Roman" w:hAnsi="Times New Roman"/>
              </w:rPr>
              <w:t>6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50532929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E404EF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§</w:t>
      </w:r>
      <w:r w:rsidR="00E404EF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64658408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E404EF">
        <w:rPr>
          <w:rFonts w:ascii="Times New Roman" w:hAnsi="Times New Roman"/>
          <w:b/>
          <w:sz w:val="28"/>
          <w:szCs w:val="28"/>
        </w:rPr>
        <w:t>Afrodyta 250 SC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E404EF">
        <w:rPr>
          <w:rFonts w:ascii="Times New Roman" w:hAnsi="Times New Roman"/>
          <w:b/>
          <w:sz w:val="28"/>
          <w:szCs w:val="28"/>
        </w:rPr>
        <w:t>5782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9A23FB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4A2AED6F" w14:textId="65BE7BCD" w:rsidR="00455210" w:rsidRDefault="00934311" w:rsidP="00E404EF">
      <w:pPr>
        <w:widowControl w:val="0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10422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1560"/>
        <w:gridCol w:w="566"/>
        <w:gridCol w:w="1843"/>
        <w:gridCol w:w="2200"/>
      </w:tblGrid>
      <w:tr w:rsidR="009A23FB" w:rsidRPr="009A23FB" w14:paraId="3F8DA91B" w14:textId="77777777" w:rsidTr="00FA1924">
        <w:tc>
          <w:tcPr>
            <w:tcW w:w="1985" w:type="dxa"/>
          </w:tcPr>
          <w:p w14:paraId="0D0A5561" w14:textId="77777777" w:rsidR="00E404EF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</w:t>
            </w:r>
            <w:r w:rsidR="00E404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</w:t>
            </w:r>
          </w:p>
          <w:p w14:paraId="7346045C" w14:textId="120CB862" w:rsidR="009A23FB" w:rsidRPr="009A23FB" w:rsidRDefault="009A23FB" w:rsidP="00E404EF">
            <w:pPr>
              <w:autoSpaceDE w:val="0"/>
              <w:autoSpaceDN w:val="0"/>
              <w:adjustRightInd w:val="0"/>
              <w:spacing w:before="40" w:after="0"/>
              <w:ind w:left="28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oblast použití</w:t>
            </w:r>
          </w:p>
        </w:tc>
        <w:tc>
          <w:tcPr>
            <w:tcW w:w="2268" w:type="dxa"/>
          </w:tcPr>
          <w:p w14:paraId="4B9D59F4" w14:textId="77777777" w:rsidR="00E404EF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</w:t>
            </w:r>
          </w:p>
          <w:p w14:paraId="534A1A47" w14:textId="77777777" w:rsidR="00E404EF" w:rsidRDefault="009A23FB" w:rsidP="00E404EF">
            <w:pPr>
              <w:autoSpaceDE w:val="0"/>
              <w:autoSpaceDN w:val="0"/>
              <w:adjustRightInd w:val="0"/>
              <w:spacing w:before="40" w:after="0"/>
              <w:ind w:left="28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organismus, jiný</w:t>
            </w:r>
          </w:p>
          <w:p w14:paraId="60222AE4" w14:textId="51415AED" w:rsidR="009A23FB" w:rsidRPr="009A23FB" w:rsidRDefault="009A23FB" w:rsidP="00E404EF">
            <w:pPr>
              <w:autoSpaceDE w:val="0"/>
              <w:autoSpaceDN w:val="0"/>
              <w:adjustRightInd w:val="0"/>
              <w:spacing w:before="40" w:after="0"/>
              <w:ind w:left="28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účel použití</w:t>
            </w:r>
          </w:p>
        </w:tc>
        <w:tc>
          <w:tcPr>
            <w:tcW w:w="1560" w:type="dxa"/>
          </w:tcPr>
          <w:p w14:paraId="7D064744" w14:textId="77777777" w:rsidR="00E404EF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</w:t>
            </w:r>
          </w:p>
          <w:p w14:paraId="19D45535" w14:textId="6EC45538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mísitelnost</w:t>
            </w:r>
          </w:p>
        </w:tc>
        <w:tc>
          <w:tcPr>
            <w:tcW w:w="566" w:type="dxa"/>
          </w:tcPr>
          <w:p w14:paraId="5CE1C479" w14:textId="662BECE9" w:rsidR="009A23FB" w:rsidRPr="009A23FB" w:rsidRDefault="009A23FB" w:rsidP="00E404EF">
            <w:pPr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3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00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E404EF" w:rsidRPr="00534F55" w14:paraId="07CE8FD5" w14:textId="77777777" w:rsidTr="00FA1924">
        <w:tc>
          <w:tcPr>
            <w:tcW w:w="1985" w:type="dxa"/>
          </w:tcPr>
          <w:p w14:paraId="389D3D63" w14:textId="32E512AD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žito jarní</w:t>
            </w:r>
          </w:p>
        </w:tc>
        <w:tc>
          <w:tcPr>
            <w:tcW w:w="2268" w:type="dxa"/>
          </w:tcPr>
          <w:p w14:paraId="3E8B3928" w14:textId="77777777" w:rsid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padlí travní,</w:t>
            </w:r>
          </w:p>
          <w:p w14:paraId="64AEA05F" w14:textId="7403FC33" w:rsid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braničnatka</w:t>
            </w:r>
            <w:r w:rsidR="00FA19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04EF">
              <w:rPr>
                <w:rFonts w:ascii="Times New Roman" w:hAnsi="Times New Roman"/>
                <w:sz w:val="24"/>
                <w:szCs w:val="24"/>
              </w:rPr>
              <w:t>pšeničná,</w:t>
            </w:r>
          </w:p>
          <w:p w14:paraId="3531F278" w14:textId="77777777" w:rsid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helmintosporióza</w:t>
            </w:r>
          </w:p>
          <w:p w14:paraId="685C8395" w14:textId="77777777" w:rsid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pšenice, rez žitná,</w:t>
            </w:r>
          </w:p>
          <w:p w14:paraId="4D0F4A5E" w14:textId="77777777" w:rsid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rynchosporiová</w:t>
            </w:r>
          </w:p>
          <w:p w14:paraId="57DB69CA" w14:textId="77777777" w:rsidR="00E404EF" w:rsidRDefault="00E404EF" w:rsidP="00D723E3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skvrnitost</w:t>
            </w:r>
          </w:p>
          <w:p w14:paraId="0348E1E0" w14:textId="26DBC32D" w:rsidR="00FA1924" w:rsidRPr="00E404EF" w:rsidRDefault="00FA1924" w:rsidP="00D723E3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60" w:type="dxa"/>
          </w:tcPr>
          <w:p w14:paraId="1E0DF8DD" w14:textId="678B9634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0,8-1 l/ha</w:t>
            </w:r>
          </w:p>
        </w:tc>
        <w:tc>
          <w:tcPr>
            <w:tcW w:w="566" w:type="dxa"/>
          </w:tcPr>
          <w:p w14:paraId="688555AC" w14:textId="373F0A61" w:rsidR="00E404EF" w:rsidRPr="00E404EF" w:rsidRDefault="0014672C" w:rsidP="00E404E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1843" w:type="dxa"/>
          </w:tcPr>
          <w:p w14:paraId="1CC7EBFE" w14:textId="77777777" w:rsid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1) od: 31 BBCH,</w:t>
            </w:r>
          </w:p>
          <w:p w14:paraId="38D66729" w14:textId="50F47026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ind w:left="28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do: 59 BBCH</w:t>
            </w:r>
          </w:p>
        </w:tc>
        <w:tc>
          <w:tcPr>
            <w:tcW w:w="2200" w:type="dxa"/>
          </w:tcPr>
          <w:p w14:paraId="144074D3" w14:textId="48DEEF91" w:rsidR="00E404EF" w:rsidRPr="009A23FB" w:rsidRDefault="00837C02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E404EF" w:rsidRPr="00534F55" w14:paraId="23210DF1" w14:textId="77777777" w:rsidTr="00FA1924">
        <w:trPr>
          <w:trHeight w:val="57"/>
        </w:trPr>
        <w:tc>
          <w:tcPr>
            <w:tcW w:w="1985" w:type="dxa"/>
          </w:tcPr>
          <w:p w14:paraId="1A70954E" w14:textId="3B648602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lastRenderedPageBreak/>
              <w:t>řepka olejka jarní</w:t>
            </w:r>
          </w:p>
        </w:tc>
        <w:tc>
          <w:tcPr>
            <w:tcW w:w="2268" w:type="dxa"/>
          </w:tcPr>
          <w:p w14:paraId="5F2F824D" w14:textId="77777777" w:rsid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alternáriová</w:t>
            </w:r>
          </w:p>
          <w:p w14:paraId="27BDD158" w14:textId="77777777" w:rsid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skvrnitost</w:t>
            </w:r>
          </w:p>
          <w:p w14:paraId="01176BC3" w14:textId="6D82FFFF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brukvovitých,</w:t>
            </w:r>
          </w:p>
          <w:p w14:paraId="6C1C8A47" w14:textId="2A1472C0" w:rsidR="00E404EF" w:rsidRP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plíseň</w:t>
            </w:r>
            <w:r w:rsidR="00FA19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04EF">
              <w:rPr>
                <w:rFonts w:ascii="Times New Roman" w:hAnsi="Times New Roman"/>
                <w:sz w:val="24"/>
                <w:szCs w:val="24"/>
              </w:rPr>
              <w:t>šedá</w:t>
            </w:r>
          </w:p>
        </w:tc>
        <w:tc>
          <w:tcPr>
            <w:tcW w:w="1560" w:type="dxa"/>
          </w:tcPr>
          <w:p w14:paraId="1DF1C7CC" w14:textId="4BBAF387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0,8-1 l/ha</w:t>
            </w:r>
          </w:p>
        </w:tc>
        <w:tc>
          <w:tcPr>
            <w:tcW w:w="566" w:type="dxa"/>
          </w:tcPr>
          <w:p w14:paraId="2220BE7F" w14:textId="63DDD5B9" w:rsidR="00E404EF" w:rsidRPr="00E404EF" w:rsidRDefault="0014672C" w:rsidP="00E404E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1843" w:type="dxa"/>
          </w:tcPr>
          <w:p w14:paraId="2BD982CA" w14:textId="77777777" w:rsid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1) od: 65 BBCH,</w:t>
            </w:r>
          </w:p>
          <w:p w14:paraId="62B41255" w14:textId="0F73F91A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ind w:left="28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do: 70 BBCH</w:t>
            </w:r>
          </w:p>
        </w:tc>
        <w:tc>
          <w:tcPr>
            <w:tcW w:w="2200" w:type="dxa"/>
          </w:tcPr>
          <w:p w14:paraId="31304057" w14:textId="361BADAC" w:rsidR="00E404EF" w:rsidRPr="009A23FB" w:rsidRDefault="00837C02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E404EF" w:rsidRPr="00534F55" w14:paraId="575381FC" w14:textId="77777777" w:rsidTr="00FA1924">
        <w:trPr>
          <w:trHeight w:val="57"/>
        </w:trPr>
        <w:tc>
          <w:tcPr>
            <w:tcW w:w="1985" w:type="dxa"/>
          </w:tcPr>
          <w:p w14:paraId="7DCC03F5" w14:textId="3357A825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řepka olejka jarní</w:t>
            </w:r>
          </w:p>
        </w:tc>
        <w:tc>
          <w:tcPr>
            <w:tcW w:w="2268" w:type="dxa"/>
          </w:tcPr>
          <w:p w14:paraId="16C0C54B" w14:textId="67236643" w:rsidR="00E404EF" w:rsidRPr="00E404EF" w:rsidRDefault="00CD03D1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hlízenka obecná</w:t>
            </w:r>
          </w:p>
        </w:tc>
        <w:tc>
          <w:tcPr>
            <w:tcW w:w="1560" w:type="dxa"/>
          </w:tcPr>
          <w:p w14:paraId="4882419F" w14:textId="77777777" w:rsidR="00D723E3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1 l/ha</w:t>
            </w:r>
          </w:p>
          <w:p w14:paraId="7C5D8850" w14:textId="25DA7333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300 l vody/ha</w:t>
            </w:r>
          </w:p>
        </w:tc>
        <w:tc>
          <w:tcPr>
            <w:tcW w:w="566" w:type="dxa"/>
          </w:tcPr>
          <w:p w14:paraId="2B435C80" w14:textId="1B7B05F8" w:rsidR="00E404EF" w:rsidRPr="00E404EF" w:rsidRDefault="0014672C" w:rsidP="00E404E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1843" w:type="dxa"/>
          </w:tcPr>
          <w:p w14:paraId="736D58F0" w14:textId="6E2DDE08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1) od: 60 BBCH,</w:t>
            </w:r>
          </w:p>
          <w:p w14:paraId="524062A8" w14:textId="6F280AA9" w:rsidR="00E404EF" w:rsidRPr="00E404EF" w:rsidRDefault="00E404EF" w:rsidP="00FA1924">
            <w:pPr>
              <w:autoSpaceDE w:val="0"/>
              <w:autoSpaceDN w:val="0"/>
              <w:adjustRightInd w:val="0"/>
              <w:spacing w:before="40" w:after="40"/>
              <w:ind w:left="28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do: 69 BBCH</w:t>
            </w:r>
          </w:p>
        </w:tc>
        <w:tc>
          <w:tcPr>
            <w:tcW w:w="2200" w:type="dxa"/>
          </w:tcPr>
          <w:p w14:paraId="0B159DCD" w14:textId="6ED7E76B" w:rsidR="00E404EF" w:rsidRPr="009A23FB" w:rsidRDefault="00837C02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E404EF" w:rsidRPr="00534F55" w14:paraId="3415818A" w14:textId="77777777" w:rsidTr="00FA1924">
        <w:trPr>
          <w:trHeight w:val="57"/>
        </w:trPr>
        <w:tc>
          <w:tcPr>
            <w:tcW w:w="1985" w:type="dxa"/>
          </w:tcPr>
          <w:p w14:paraId="17B7F7E1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brokolice, květák,</w:t>
            </w:r>
          </w:p>
          <w:p w14:paraId="7CD69410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kapusta růžičková,</w:t>
            </w:r>
          </w:p>
          <w:p w14:paraId="5DCCE7F5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kapusta krmná,</w:t>
            </w:r>
          </w:p>
          <w:p w14:paraId="11F98E33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zelí pekingské,</w:t>
            </w:r>
          </w:p>
          <w:p w14:paraId="455EFB37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zelí čínské,</w:t>
            </w:r>
          </w:p>
          <w:p w14:paraId="3882A173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hořčice sareptská,</w:t>
            </w:r>
          </w:p>
          <w:p w14:paraId="35F60433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kapusta hlávková,</w:t>
            </w:r>
          </w:p>
          <w:p w14:paraId="49CCFA09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kapusta kadeřavá,</w:t>
            </w:r>
          </w:p>
          <w:p w14:paraId="38E128EC" w14:textId="76D0F827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zelí tronchuda</w:t>
            </w:r>
          </w:p>
        </w:tc>
        <w:tc>
          <w:tcPr>
            <w:tcW w:w="2268" w:type="dxa"/>
          </w:tcPr>
          <w:p w14:paraId="1EB98F9D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plíseň bělostná,</w:t>
            </w:r>
          </w:p>
          <w:p w14:paraId="7EF38572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alternáriová</w:t>
            </w:r>
          </w:p>
          <w:p w14:paraId="3A020443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skvrnitost</w:t>
            </w:r>
          </w:p>
          <w:p w14:paraId="69D84F73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brukvovitých,</w:t>
            </w:r>
          </w:p>
          <w:p w14:paraId="7012231B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kroužkovitá</w:t>
            </w:r>
          </w:p>
          <w:p w14:paraId="19E930E7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skvrnitost</w:t>
            </w:r>
          </w:p>
          <w:p w14:paraId="7D26CE87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brukvovitých,</w:t>
            </w:r>
          </w:p>
          <w:p w14:paraId="30EBB59C" w14:textId="55822734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plíseň zelná</w:t>
            </w:r>
          </w:p>
        </w:tc>
        <w:tc>
          <w:tcPr>
            <w:tcW w:w="1560" w:type="dxa"/>
          </w:tcPr>
          <w:p w14:paraId="5DA2ED46" w14:textId="29D32253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1 l/ha</w:t>
            </w:r>
          </w:p>
        </w:tc>
        <w:tc>
          <w:tcPr>
            <w:tcW w:w="566" w:type="dxa"/>
          </w:tcPr>
          <w:p w14:paraId="4E757AD5" w14:textId="083B5BD7" w:rsidR="00E404EF" w:rsidRPr="00E404EF" w:rsidRDefault="0014672C" w:rsidP="00E404E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843" w:type="dxa"/>
          </w:tcPr>
          <w:p w14:paraId="39F78165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1) od: 35 BBCH,</w:t>
            </w:r>
          </w:p>
          <w:p w14:paraId="0BF62682" w14:textId="70ABB909" w:rsidR="00E404EF" w:rsidRPr="00E404EF" w:rsidRDefault="00E404EF" w:rsidP="00FA1924">
            <w:pPr>
              <w:autoSpaceDE w:val="0"/>
              <w:autoSpaceDN w:val="0"/>
              <w:adjustRightInd w:val="0"/>
              <w:spacing w:before="40" w:after="40"/>
              <w:ind w:left="28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do: 39 BBCH</w:t>
            </w:r>
          </w:p>
        </w:tc>
        <w:tc>
          <w:tcPr>
            <w:tcW w:w="2200" w:type="dxa"/>
          </w:tcPr>
          <w:p w14:paraId="7D2FF6A1" w14:textId="32D1749B" w:rsidR="00E404EF" w:rsidRPr="009A23FB" w:rsidRDefault="00837C02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E404EF" w:rsidRPr="00534F55" w14:paraId="4AB07213" w14:textId="77777777" w:rsidTr="00FA1924">
        <w:trPr>
          <w:trHeight w:val="57"/>
        </w:trPr>
        <w:tc>
          <w:tcPr>
            <w:tcW w:w="1985" w:type="dxa"/>
          </w:tcPr>
          <w:p w14:paraId="5F046953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kapusta hlávková,</w:t>
            </w:r>
          </w:p>
          <w:p w14:paraId="1600EC5D" w14:textId="51AFC424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zelí pekingské</w:t>
            </w:r>
          </w:p>
        </w:tc>
        <w:tc>
          <w:tcPr>
            <w:tcW w:w="2268" w:type="dxa"/>
          </w:tcPr>
          <w:p w14:paraId="4093F83C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alternáriová</w:t>
            </w:r>
          </w:p>
          <w:p w14:paraId="4E73AC72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skvrnitost</w:t>
            </w:r>
          </w:p>
          <w:p w14:paraId="1B27F0C2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brukvovitých,</w:t>
            </w:r>
          </w:p>
          <w:p w14:paraId="3C786A5A" w14:textId="3A63A118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plíseň šedá</w:t>
            </w:r>
          </w:p>
        </w:tc>
        <w:tc>
          <w:tcPr>
            <w:tcW w:w="1560" w:type="dxa"/>
          </w:tcPr>
          <w:p w14:paraId="7294CBDE" w14:textId="23D88B44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566" w:type="dxa"/>
          </w:tcPr>
          <w:p w14:paraId="515E074C" w14:textId="51796AD0" w:rsidR="00E404EF" w:rsidRPr="00E404EF" w:rsidRDefault="0014672C" w:rsidP="00E404E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843" w:type="dxa"/>
          </w:tcPr>
          <w:p w14:paraId="68BEE158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1) od: 41 BBCH</w:t>
            </w:r>
          </w:p>
          <w:p w14:paraId="5BF089BD" w14:textId="181AE28F" w:rsidR="007A6C23" w:rsidRDefault="007A6C23" w:rsidP="00FA1924">
            <w:pPr>
              <w:autoSpaceDE w:val="0"/>
              <w:autoSpaceDN w:val="0"/>
              <w:adjustRightInd w:val="0"/>
              <w:spacing w:before="40" w:after="4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E404EF" w:rsidRPr="00E404EF">
              <w:rPr>
                <w:rFonts w:ascii="Times New Roman" w:hAnsi="Times New Roman"/>
                <w:sz w:val="24"/>
                <w:szCs w:val="24"/>
              </w:rPr>
              <w:t>drůdy</w:t>
            </w:r>
          </w:p>
          <w:p w14:paraId="1F4ACDFF" w14:textId="02463F21" w:rsidR="00E404EF" w:rsidRPr="00E404EF" w:rsidRDefault="00E404EF" w:rsidP="00FA1924">
            <w:pPr>
              <w:autoSpaceDE w:val="0"/>
              <w:autoSpaceDN w:val="0"/>
              <w:adjustRightInd w:val="0"/>
              <w:spacing w:before="40" w:after="40"/>
              <w:ind w:left="28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pro</w:t>
            </w:r>
            <w:r w:rsidR="00FA1924">
              <w:rPr>
                <w:rFonts w:ascii="Times New Roman" w:hAnsi="Times New Roman"/>
                <w:sz w:val="24"/>
                <w:szCs w:val="24"/>
              </w:rPr>
              <w:t> </w:t>
            </w:r>
            <w:r w:rsidRPr="00E404EF">
              <w:rPr>
                <w:rFonts w:ascii="Times New Roman" w:hAnsi="Times New Roman"/>
                <w:sz w:val="24"/>
                <w:szCs w:val="24"/>
              </w:rPr>
              <w:t>skladování</w:t>
            </w:r>
          </w:p>
        </w:tc>
        <w:tc>
          <w:tcPr>
            <w:tcW w:w="2200" w:type="dxa"/>
          </w:tcPr>
          <w:p w14:paraId="13CD6BE2" w14:textId="2585CB86" w:rsidR="00E404EF" w:rsidRPr="009A23FB" w:rsidRDefault="00837C02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E404EF" w:rsidRPr="00534F55" w14:paraId="494E4196" w14:textId="77777777" w:rsidTr="00FA1924">
        <w:trPr>
          <w:trHeight w:val="57"/>
        </w:trPr>
        <w:tc>
          <w:tcPr>
            <w:tcW w:w="1985" w:type="dxa"/>
          </w:tcPr>
          <w:p w14:paraId="4F016F60" w14:textId="706F1272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fazol obecný</w:t>
            </w:r>
          </w:p>
        </w:tc>
        <w:tc>
          <w:tcPr>
            <w:tcW w:w="2268" w:type="dxa"/>
          </w:tcPr>
          <w:p w14:paraId="46BE6EBA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antraknóza fazolu,</w:t>
            </w:r>
          </w:p>
          <w:p w14:paraId="2633649A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plíseň šedá,</w:t>
            </w:r>
          </w:p>
          <w:p w14:paraId="051AA85F" w14:textId="5F56F64A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hlízenka</w:t>
            </w:r>
            <w:r w:rsidR="00FA19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04EF">
              <w:rPr>
                <w:rFonts w:ascii="Times New Roman" w:hAnsi="Times New Roman"/>
                <w:sz w:val="24"/>
                <w:szCs w:val="24"/>
              </w:rPr>
              <w:t>obecná</w:t>
            </w:r>
          </w:p>
        </w:tc>
        <w:tc>
          <w:tcPr>
            <w:tcW w:w="1560" w:type="dxa"/>
          </w:tcPr>
          <w:p w14:paraId="6AB9E69A" w14:textId="4563839F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566" w:type="dxa"/>
          </w:tcPr>
          <w:p w14:paraId="78D09495" w14:textId="3A037EEF" w:rsidR="00E404EF" w:rsidRPr="00E404EF" w:rsidRDefault="0014672C" w:rsidP="00E404E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843" w:type="dxa"/>
          </w:tcPr>
          <w:p w14:paraId="6429E472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1) od: 60 BBCH,</w:t>
            </w:r>
          </w:p>
          <w:p w14:paraId="74E114E2" w14:textId="5A724ED5" w:rsidR="00E404EF" w:rsidRPr="00E404EF" w:rsidRDefault="00E404EF" w:rsidP="00FA1924">
            <w:pPr>
              <w:autoSpaceDE w:val="0"/>
              <w:autoSpaceDN w:val="0"/>
              <w:adjustRightInd w:val="0"/>
              <w:spacing w:before="40" w:after="40"/>
              <w:ind w:left="28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do: 79 BBCH</w:t>
            </w:r>
          </w:p>
        </w:tc>
        <w:tc>
          <w:tcPr>
            <w:tcW w:w="2200" w:type="dxa"/>
          </w:tcPr>
          <w:p w14:paraId="79EB0C92" w14:textId="18DD1166" w:rsidR="00E404EF" w:rsidRPr="009A23FB" w:rsidRDefault="00837C02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E404EF" w:rsidRPr="00534F55" w14:paraId="527A1552" w14:textId="77777777" w:rsidTr="00FA1924">
        <w:trPr>
          <w:trHeight w:val="57"/>
        </w:trPr>
        <w:tc>
          <w:tcPr>
            <w:tcW w:w="1985" w:type="dxa"/>
          </w:tcPr>
          <w:p w14:paraId="6870171E" w14:textId="21DD5702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hrách dřeňový</w:t>
            </w:r>
          </w:p>
        </w:tc>
        <w:tc>
          <w:tcPr>
            <w:tcW w:w="2268" w:type="dxa"/>
          </w:tcPr>
          <w:p w14:paraId="7C34C86B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strupovitost hrachu,</w:t>
            </w:r>
          </w:p>
          <w:p w14:paraId="2F33B5C3" w14:textId="5693B933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plíseň hrachu</w:t>
            </w:r>
          </w:p>
        </w:tc>
        <w:tc>
          <w:tcPr>
            <w:tcW w:w="1560" w:type="dxa"/>
          </w:tcPr>
          <w:p w14:paraId="6DD0C7D6" w14:textId="15BD5563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566" w:type="dxa"/>
          </w:tcPr>
          <w:p w14:paraId="7D8F6050" w14:textId="59552A19" w:rsidR="00E404EF" w:rsidRPr="00E404EF" w:rsidRDefault="0014672C" w:rsidP="00E404E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843" w:type="dxa"/>
          </w:tcPr>
          <w:p w14:paraId="006EDBC5" w14:textId="474EC2AB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1) od: 60 BBCH</w:t>
            </w:r>
          </w:p>
        </w:tc>
        <w:tc>
          <w:tcPr>
            <w:tcW w:w="2200" w:type="dxa"/>
          </w:tcPr>
          <w:p w14:paraId="37F1CE0A" w14:textId="1CE011C8" w:rsidR="00E404EF" w:rsidRPr="009A23FB" w:rsidRDefault="00837C02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E404EF" w:rsidRPr="00534F55" w14:paraId="60BB66CF" w14:textId="77777777" w:rsidTr="00FA1924">
        <w:trPr>
          <w:trHeight w:val="57"/>
        </w:trPr>
        <w:tc>
          <w:tcPr>
            <w:tcW w:w="1985" w:type="dxa"/>
          </w:tcPr>
          <w:p w14:paraId="2B2482CD" w14:textId="4605A93C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celer</w:t>
            </w:r>
          </w:p>
        </w:tc>
        <w:tc>
          <w:tcPr>
            <w:tcW w:w="2268" w:type="dxa"/>
          </w:tcPr>
          <w:p w14:paraId="32BAC951" w14:textId="623A3EBB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septorióza</w:t>
            </w:r>
          </w:p>
        </w:tc>
        <w:tc>
          <w:tcPr>
            <w:tcW w:w="1560" w:type="dxa"/>
          </w:tcPr>
          <w:p w14:paraId="42C9EFE8" w14:textId="1B817CA7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566" w:type="dxa"/>
          </w:tcPr>
          <w:p w14:paraId="58057C0F" w14:textId="44113A17" w:rsidR="00E404EF" w:rsidRPr="00E404EF" w:rsidRDefault="0014672C" w:rsidP="00E404E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843" w:type="dxa"/>
          </w:tcPr>
          <w:p w14:paraId="6575310D" w14:textId="489C4BDA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1) od: 13 BBCH</w:t>
            </w:r>
          </w:p>
        </w:tc>
        <w:tc>
          <w:tcPr>
            <w:tcW w:w="2200" w:type="dxa"/>
          </w:tcPr>
          <w:p w14:paraId="5BE7A540" w14:textId="50891215" w:rsidR="00E404EF" w:rsidRPr="009A23FB" w:rsidRDefault="00837C02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E404EF" w:rsidRPr="00534F55" w14:paraId="772F267F" w14:textId="77777777" w:rsidTr="00FA1924">
        <w:trPr>
          <w:trHeight w:val="57"/>
        </w:trPr>
        <w:tc>
          <w:tcPr>
            <w:tcW w:w="1985" w:type="dxa"/>
          </w:tcPr>
          <w:p w14:paraId="4FEFE073" w14:textId="6F858743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mrkev</w:t>
            </w:r>
          </w:p>
        </w:tc>
        <w:tc>
          <w:tcPr>
            <w:tcW w:w="2268" w:type="dxa"/>
          </w:tcPr>
          <w:p w14:paraId="337F82FB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suchá skvrnitost listů</w:t>
            </w:r>
          </w:p>
          <w:p w14:paraId="589DE29A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mrkve,</w:t>
            </w:r>
          </w:p>
          <w:p w14:paraId="40826A3A" w14:textId="10A63FA2" w:rsidR="00E404EF" w:rsidRP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padlí</w:t>
            </w:r>
            <w:r w:rsidR="00FA19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04EF">
              <w:rPr>
                <w:rFonts w:ascii="Times New Roman" w:hAnsi="Times New Roman"/>
                <w:sz w:val="24"/>
                <w:szCs w:val="24"/>
              </w:rPr>
              <w:t>miříkovitých</w:t>
            </w:r>
          </w:p>
        </w:tc>
        <w:tc>
          <w:tcPr>
            <w:tcW w:w="1560" w:type="dxa"/>
          </w:tcPr>
          <w:p w14:paraId="663213BA" w14:textId="5197C34C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566" w:type="dxa"/>
          </w:tcPr>
          <w:p w14:paraId="2A2BAC8D" w14:textId="4C891FDA" w:rsidR="00E404EF" w:rsidRPr="00E404EF" w:rsidRDefault="0014672C" w:rsidP="00E404E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843" w:type="dxa"/>
          </w:tcPr>
          <w:p w14:paraId="688758DD" w14:textId="2F16D379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1) od: 41 BBCH</w:t>
            </w:r>
          </w:p>
        </w:tc>
        <w:tc>
          <w:tcPr>
            <w:tcW w:w="2200" w:type="dxa"/>
          </w:tcPr>
          <w:p w14:paraId="2B69069B" w14:textId="457F8D1E" w:rsidR="00E404EF" w:rsidRPr="009A23FB" w:rsidRDefault="00837C02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E404EF" w:rsidRPr="00534F55" w14:paraId="5DBC7ECE" w14:textId="77777777" w:rsidTr="00FA1924">
        <w:trPr>
          <w:trHeight w:val="57"/>
        </w:trPr>
        <w:tc>
          <w:tcPr>
            <w:tcW w:w="1985" w:type="dxa"/>
          </w:tcPr>
          <w:p w14:paraId="760856CD" w14:textId="3B618889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cibule</w:t>
            </w:r>
          </w:p>
        </w:tc>
        <w:tc>
          <w:tcPr>
            <w:tcW w:w="2268" w:type="dxa"/>
          </w:tcPr>
          <w:p w14:paraId="53B31CF1" w14:textId="77777777" w:rsidR="0014672C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plíseň cibulová,</w:t>
            </w:r>
          </w:p>
          <w:p w14:paraId="38F6F314" w14:textId="76CDE40F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plíseň šedá</w:t>
            </w:r>
          </w:p>
        </w:tc>
        <w:tc>
          <w:tcPr>
            <w:tcW w:w="1560" w:type="dxa"/>
          </w:tcPr>
          <w:p w14:paraId="74D822CD" w14:textId="462C1007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566" w:type="dxa"/>
          </w:tcPr>
          <w:p w14:paraId="22BBF8D4" w14:textId="2F4F650C" w:rsidR="00E404EF" w:rsidRPr="00E404EF" w:rsidRDefault="0014672C" w:rsidP="00E404E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843" w:type="dxa"/>
          </w:tcPr>
          <w:p w14:paraId="2045954A" w14:textId="118D76F5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1) od: 13 BBCH</w:t>
            </w:r>
          </w:p>
        </w:tc>
        <w:tc>
          <w:tcPr>
            <w:tcW w:w="2200" w:type="dxa"/>
          </w:tcPr>
          <w:p w14:paraId="287CFB2C" w14:textId="73EFF47C" w:rsidR="00E404EF" w:rsidRPr="009A23FB" w:rsidRDefault="00837C02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E404EF" w:rsidRPr="00534F55" w14:paraId="3506DBF4" w14:textId="77777777" w:rsidTr="00FA1924">
        <w:trPr>
          <w:trHeight w:val="57"/>
        </w:trPr>
        <w:tc>
          <w:tcPr>
            <w:tcW w:w="1985" w:type="dxa"/>
          </w:tcPr>
          <w:p w14:paraId="56BDD0A0" w14:textId="0510670D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pór</w:t>
            </w:r>
          </w:p>
        </w:tc>
        <w:tc>
          <w:tcPr>
            <w:tcW w:w="2268" w:type="dxa"/>
          </w:tcPr>
          <w:p w14:paraId="4AF968E9" w14:textId="614E2294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rez póru</w:t>
            </w:r>
          </w:p>
        </w:tc>
        <w:tc>
          <w:tcPr>
            <w:tcW w:w="1560" w:type="dxa"/>
          </w:tcPr>
          <w:p w14:paraId="5D3A8F54" w14:textId="236FB915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566" w:type="dxa"/>
          </w:tcPr>
          <w:p w14:paraId="2A997DCE" w14:textId="3A1A4F64" w:rsidR="00E404EF" w:rsidRPr="00E404EF" w:rsidRDefault="0014672C" w:rsidP="00E404E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843" w:type="dxa"/>
          </w:tcPr>
          <w:p w14:paraId="5D7C1E14" w14:textId="7B195032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1) od: 13 BBCH</w:t>
            </w:r>
          </w:p>
        </w:tc>
        <w:tc>
          <w:tcPr>
            <w:tcW w:w="2200" w:type="dxa"/>
          </w:tcPr>
          <w:p w14:paraId="7D9AC1B9" w14:textId="53E02A55" w:rsidR="00E404EF" w:rsidRPr="009A23FB" w:rsidRDefault="00837C02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</w:tbl>
    <w:p w14:paraId="0E32B355" w14:textId="77777777" w:rsidR="0014672C" w:rsidRPr="0014672C" w:rsidRDefault="0014672C" w:rsidP="0014672C">
      <w:pPr>
        <w:widowControl w:val="0"/>
        <w:spacing w:after="0"/>
        <w:ind w:left="283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cs-CZ"/>
        </w:rPr>
      </w:pPr>
      <w:r w:rsidRPr="0014672C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cs-CZ"/>
        </w:rPr>
        <w:t>OL (ochranná lhůta) je dána počtem dnů, které je nutné dodržet mezi termínem aplikace a sklizní.</w:t>
      </w:r>
    </w:p>
    <w:p w14:paraId="418CE8E7" w14:textId="2A6ED8B3" w:rsidR="007A6C23" w:rsidRDefault="007A6C23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br w:type="page"/>
      </w:r>
    </w:p>
    <w:tbl>
      <w:tblPr>
        <w:tblStyle w:val="Mkatabulky"/>
        <w:tblW w:w="10421" w:type="dxa"/>
        <w:tblInd w:w="-2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559"/>
        <w:gridCol w:w="1276"/>
        <w:gridCol w:w="1954"/>
        <w:gridCol w:w="1804"/>
      </w:tblGrid>
      <w:tr w:rsidR="007A6C23" w:rsidRPr="009A23FB" w14:paraId="3B191BF1" w14:textId="4A91CA8B" w:rsidTr="004074A3">
        <w:tc>
          <w:tcPr>
            <w:tcW w:w="3828" w:type="dxa"/>
          </w:tcPr>
          <w:p w14:paraId="6D21D4C2" w14:textId="77777777" w:rsidR="007A6C23" w:rsidRPr="009A23FB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Plodina, oblast použití</w:t>
            </w:r>
          </w:p>
        </w:tc>
        <w:tc>
          <w:tcPr>
            <w:tcW w:w="1559" w:type="dxa"/>
          </w:tcPr>
          <w:p w14:paraId="45EC12A2" w14:textId="77777777" w:rsidR="007A6C23" w:rsidRPr="009A23FB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276" w:type="dxa"/>
          </w:tcPr>
          <w:p w14:paraId="7383A6C6" w14:textId="77777777" w:rsidR="004074A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</w:t>
            </w:r>
          </w:p>
          <w:p w14:paraId="0C93A9F2" w14:textId="43D8E987" w:rsidR="007A6C23" w:rsidRPr="009A23FB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aplikace</w:t>
            </w:r>
          </w:p>
        </w:tc>
        <w:tc>
          <w:tcPr>
            <w:tcW w:w="1954" w:type="dxa"/>
          </w:tcPr>
          <w:p w14:paraId="0E69C7B7" w14:textId="3A94D02D" w:rsidR="007A6C23" w:rsidRPr="009A23FB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</w:t>
            </w:r>
            <w:r w:rsidR="004074A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plodině</w:t>
            </w:r>
          </w:p>
        </w:tc>
        <w:tc>
          <w:tcPr>
            <w:tcW w:w="1804" w:type="dxa"/>
          </w:tcPr>
          <w:p w14:paraId="1DBB2F33" w14:textId="77777777" w:rsidR="004074A3" w:rsidRPr="004074A3" w:rsidRDefault="004074A3" w:rsidP="004074A3">
            <w:pPr>
              <w:keepLines/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4074A3">
              <w:rPr>
                <w:rFonts w:ascii="Times New Roman" w:hAnsi="Times New Roman"/>
                <w:sz w:val="24"/>
                <w:szCs w:val="24"/>
              </w:rPr>
              <w:t>Interval</w:t>
            </w:r>
          </w:p>
          <w:p w14:paraId="17EB5B45" w14:textId="310E6802" w:rsidR="007A6C23" w:rsidRPr="009A23FB" w:rsidRDefault="004074A3" w:rsidP="004074A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074A3">
              <w:rPr>
                <w:rFonts w:ascii="Times New Roman" w:hAnsi="Times New Roman"/>
                <w:sz w:val="24"/>
                <w:szCs w:val="24"/>
              </w:rPr>
              <w:t>mezi aplikacemi</w:t>
            </w:r>
          </w:p>
        </w:tc>
      </w:tr>
      <w:tr w:rsidR="007A6C23" w:rsidRPr="00534F55" w14:paraId="369D0BB2" w14:textId="5CEB778C" w:rsidTr="004074A3">
        <w:tc>
          <w:tcPr>
            <w:tcW w:w="3828" w:type="dxa"/>
            <w:shd w:val="clear" w:color="auto" w:fill="auto"/>
          </w:tcPr>
          <w:p w14:paraId="4D51B707" w14:textId="4C77B562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žito jarní</w:t>
            </w:r>
          </w:p>
        </w:tc>
        <w:tc>
          <w:tcPr>
            <w:tcW w:w="1559" w:type="dxa"/>
            <w:shd w:val="clear" w:color="auto" w:fill="auto"/>
          </w:tcPr>
          <w:p w14:paraId="52E77683" w14:textId="76846380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200-300 l/ha</w:t>
            </w:r>
          </w:p>
        </w:tc>
        <w:tc>
          <w:tcPr>
            <w:tcW w:w="1276" w:type="dxa"/>
            <w:shd w:val="clear" w:color="auto" w:fill="auto"/>
          </w:tcPr>
          <w:p w14:paraId="14BA59CE" w14:textId="01E44DC7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54" w:type="dxa"/>
            <w:shd w:val="clear" w:color="auto" w:fill="auto"/>
          </w:tcPr>
          <w:p w14:paraId="4E9C3315" w14:textId="0F774020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804" w:type="dxa"/>
            <w:shd w:val="clear" w:color="auto" w:fill="auto"/>
          </w:tcPr>
          <w:p w14:paraId="4C1401FC" w14:textId="0B1F6617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7A6C23" w:rsidRPr="00534F55" w14:paraId="12CF013A" w14:textId="77777777" w:rsidTr="004074A3">
        <w:tc>
          <w:tcPr>
            <w:tcW w:w="3828" w:type="dxa"/>
            <w:shd w:val="clear" w:color="auto" w:fill="auto"/>
          </w:tcPr>
          <w:p w14:paraId="29C4850C" w14:textId="4312B8A8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řepka olejka jarní</w:t>
            </w:r>
          </w:p>
        </w:tc>
        <w:tc>
          <w:tcPr>
            <w:tcW w:w="1559" w:type="dxa"/>
            <w:shd w:val="clear" w:color="auto" w:fill="auto"/>
          </w:tcPr>
          <w:p w14:paraId="7330E31D" w14:textId="4FEA2BEC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200-300 l/ha</w:t>
            </w:r>
          </w:p>
        </w:tc>
        <w:tc>
          <w:tcPr>
            <w:tcW w:w="1276" w:type="dxa"/>
            <w:shd w:val="clear" w:color="auto" w:fill="auto"/>
          </w:tcPr>
          <w:p w14:paraId="3585D3DC" w14:textId="6280AAC2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54" w:type="dxa"/>
            <w:shd w:val="clear" w:color="auto" w:fill="auto"/>
          </w:tcPr>
          <w:p w14:paraId="6A1D705E" w14:textId="7780789E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804" w:type="dxa"/>
            <w:shd w:val="clear" w:color="auto" w:fill="auto"/>
          </w:tcPr>
          <w:p w14:paraId="066CB100" w14:textId="77777777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7A6C23" w:rsidRPr="00534F55" w14:paraId="3BF46861" w14:textId="77777777" w:rsidTr="004074A3">
        <w:tc>
          <w:tcPr>
            <w:tcW w:w="3828" w:type="dxa"/>
            <w:shd w:val="clear" w:color="auto" w:fill="auto"/>
          </w:tcPr>
          <w:p w14:paraId="6D4FD294" w14:textId="77777777" w:rsidR="004074A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brokolice, květák, kapusta růžičková,</w:t>
            </w:r>
          </w:p>
          <w:p w14:paraId="5097447C" w14:textId="77777777" w:rsidR="004074A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kapusta krmná, zelí čínské, hořčice</w:t>
            </w:r>
          </w:p>
          <w:p w14:paraId="6239C93C" w14:textId="77777777" w:rsidR="004074A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sareptská, kapusta kadeřavá, kapusta</w:t>
            </w:r>
          </w:p>
          <w:p w14:paraId="2E0B4339" w14:textId="516D1E8C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hlávková, zelí pekingské</w:t>
            </w:r>
          </w:p>
        </w:tc>
        <w:tc>
          <w:tcPr>
            <w:tcW w:w="1559" w:type="dxa"/>
            <w:shd w:val="clear" w:color="auto" w:fill="auto"/>
          </w:tcPr>
          <w:p w14:paraId="011E9E8E" w14:textId="65A3D17A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200-600 l/ha</w:t>
            </w:r>
          </w:p>
        </w:tc>
        <w:tc>
          <w:tcPr>
            <w:tcW w:w="1276" w:type="dxa"/>
            <w:shd w:val="clear" w:color="auto" w:fill="auto"/>
          </w:tcPr>
          <w:p w14:paraId="0EB54D95" w14:textId="636B4704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54" w:type="dxa"/>
            <w:shd w:val="clear" w:color="auto" w:fill="auto"/>
          </w:tcPr>
          <w:p w14:paraId="66E85D34" w14:textId="633B4CDD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2x</w:t>
            </w:r>
          </w:p>
        </w:tc>
        <w:tc>
          <w:tcPr>
            <w:tcW w:w="1804" w:type="dxa"/>
            <w:shd w:val="clear" w:color="auto" w:fill="auto"/>
          </w:tcPr>
          <w:p w14:paraId="5C6E161C" w14:textId="5CB259BC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12 dnů</w:t>
            </w:r>
          </w:p>
        </w:tc>
      </w:tr>
      <w:tr w:rsidR="007A6C23" w:rsidRPr="00534F55" w14:paraId="6509F92E" w14:textId="77777777" w:rsidTr="004074A3">
        <w:tc>
          <w:tcPr>
            <w:tcW w:w="3828" w:type="dxa"/>
            <w:shd w:val="clear" w:color="auto" w:fill="auto"/>
          </w:tcPr>
          <w:p w14:paraId="2087806F" w14:textId="77777777" w:rsidR="004074A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kapusta hlávková, zelí pekingské</w:t>
            </w:r>
          </w:p>
          <w:p w14:paraId="12E2CDF9" w14:textId="6FE78934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– odrůdy pro skladování</w:t>
            </w:r>
          </w:p>
        </w:tc>
        <w:tc>
          <w:tcPr>
            <w:tcW w:w="1559" w:type="dxa"/>
            <w:shd w:val="clear" w:color="auto" w:fill="auto"/>
          </w:tcPr>
          <w:p w14:paraId="2204834E" w14:textId="58A81FDE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700 l/ha</w:t>
            </w:r>
          </w:p>
        </w:tc>
        <w:tc>
          <w:tcPr>
            <w:tcW w:w="1276" w:type="dxa"/>
            <w:shd w:val="clear" w:color="auto" w:fill="auto"/>
          </w:tcPr>
          <w:p w14:paraId="222E0381" w14:textId="3E367398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54" w:type="dxa"/>
            <w:shd w:val="clear" w:color="auto" w:fill="auto"/>
          </w:tcPr>
          <w:p w14:paraId="5A49403B" w14:textId="2406621A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E21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1x</w:t>
            </w:r>
          </w:p>
        </w:tc>
        <w:tc>
          <w:tcPr>
            <w:tcW w:w="1804" w:type="dxa"/>
            <w:shd w:val="clear" w:color="auto" w:fill="auto"/>
          </w:tcPr>
          <w:p w14:paraId="47320581" w14:textId="23EE35B2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7A6C23" w:rsidRPr="00534F55" w14:paraId="2BC781C4" w14:textId="77777777" w:rsidTr="004074A3">
        <w:tc>
          <w:tcPr>
            <w:tcW w:w="3828" w:type="dxa"/>
            <w:shd w:val="clear" w:color="auto" w:fill="auto"/>
          </w:tcPr>
          <w:p w14:paraId="1E05F363" w14:textId="05EC4241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fazol obecný, hrách dřeňový</w:t>
            </w:r>
          </w:p>
        </w:tc>
        <w:tc>
          <w:tcPr>
            <w:tcW w:w="1559" w:type="dxa"/>
            <w:shd w:val="clear" w:color="auto" w:fill="auto"/>
          </w:tcPr>
          <w:p w14:paraId="6556EEDC" w14:textId="44DB6CBA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700 l/ha</w:t>
            </w:r>
          </w:p>
        </w:tc>
        <w:tc>
          <w:tcPr>
            <w:tcW w:w="1276" w:type="dxa"/>
            <w:shd w:val="clear" w:color="auto" w:fill="auto"/>
          </w:tcPr>
          <w:p w14:paraId="53165C37" w14:textId="1B1701EC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54" w:type="dxa"/>
            <w:shd w:val="clear" w:color="auto" w:fill="auto"/>
          </w:tcPr>
          <w:p w14:paraId="1BDC9235" w14:textId="6817B44F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2x</w:t>
            </w:r>
          </w:p>
        </w:tc>
        <w:tc>
          <w:tcPr>
            <w:tcW w:w="1804" w:type="dxa"/>
            <w:shd w:val="clear" w:color="auto" w:fill="auto"/>
          </w:tcPr>
          <w:p w14:paraId="77E1C821" w14:textId="16A04501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7 dnů</w:t>
            </w:r>
          </w:p>
        </w:tc>
      </w:tr>
      <w:tr w:rsidR="007A6C23" w:rsidRPr="00534F55" w14:paraId="4B40FB02" w14:textId="77777777" w:rsidTr="004074A3">
        <w:tc>
          <w:tcPr>
            <w:tcW w:w="3828" w:type="dxa"/>
            <w:shd w:val="clear" w:color="auto" w:fill="auto"/>
          </w:tcPr>
          <w:p w14:paraId="53077795" w14:textId="1A2D3306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celer, mrkev, cibule, pór</w:t>
            </w:r>
          </w:p>
        </w:tc>
        <w:tc>
          <w:tcPr>
            <w:tcW w:w="1559" w:type="dxa"/>
            <w:shd w:val="clear" w:color="auto" w:fill="auto"/>
          </w:tcPr>
          <w:p w14:paraId="60837DA5" w14:textId="30E6F6AF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700 l/ha</w:t>
            </w:r>
          </w:p>
        </w:tc>
        <w:tc>
          <w:tcPr>
            <w:tcW w:w="1276" w:type="dxa"/>
            <w:shd w:val="clear" w:color="auto" w:fill="auto"/>
          </w:tcPr>
          <w:p w14:paraId="2F782013" w14:textId="1B595509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54" w:type="dxa"/>
            <w:shd w:val="clear" w:color="auto" w:fill="auto"/>
          </w:tcPr>
          <w:p w14:paraId="2E73396B" w14:textId="26436694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3x</w:t>
            </w:r>
          </w:p>
        </w:tc>
        <w:tc>
          <w:tcPr>
            <w:tcW w:w="1804" w:type="dxa"/>
            <w:shd w:val="clear" w:color="auto" w:fill="auto"/>
          </w:tcPr>
          <w:p w14:paraId="156E8069" w14:textId="1D83F7BB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7 dnů</w:t>
            </w:r>
          </w:p>
        </w:tc>
      </w:tr>
    </w:tbl>
    <w:p w14:paraId="6FB8F2DA" w14:textId="3BC3FDD0" w:rsidR="005B263E" w:rsidRDefault="005B263E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B597EA8" w14:textId="386FA6C7" w:rsidR="00DF1FDB" w:rsidRPr="00DF23E4" w:rsidRDefault="00DF1FDB" w:rsidP="004074A3">
      <w:pPr>
        <w:widowControl w:val="0"/>
        <w:numPr>
          <w:ilvl w:val="12"/>
          <w:numId w:val="0"/>
        </w:numPr>
        <w:spacing w:after="0"/>
        <w:ind w:left="284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</w:t>
      </w:r>
      <w:r w:rsidR="0021259B">
        <w:rPr>
          <w:rFonts w:ascii="Times New Roman" w:hAnsi="Times New Roman"/>
          <w:sz w:val="24"/>
          <w:szCs w:val="24"/>
        </w:rPr>
        <w:t xml:space="preserve"> </w:t>
      </w:r>
      <w:r w:rsidRPr="00DF23E4">
        <w:rPr>
          <w:rFonts w:ascii="Times New Roman" w:hAnsi="Times New Roman"/>
          <w:sz w:val="24"/>
          <w:szCs w:val="24"/>
        </w:rPr>
        <w:t>ohledem na ochranu necílových organismů</w:t>
      </w:r>
    </w:p>
    <w:tbl>
      <w:tblPr>
        <w:tblW w:w="10421" w:type="dxa"/>
        <w:tblInd w:w="-2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045"/>
        <w:gridCol w:w="1594"/>
        <w:gridCol w:w="1594"/>
        <w:gridCol w:w="1594"/>
        <w:gridCol w:w="1594"/>
      </w:tblGrid>
      <w:tr w:rsidR="00DF1FDB" w:rsidRPr="007E1DC1" w14:paraId="5228D467" w14:textId="77777777" w:rsidTr="0021259B">
        <w:trPr>
          <w:trHeight w:val="220"/>
        </w:trPr>
        <w:tc>
          <w:tcPr>
            <w:tcW w:w="4045" w:type="dxa"/>
            <w:shd w:val="clear" w:color="auto" w:fill="FFFFFF"/>
            <w:vAlign w:val="center"/>
          </w:tcPr>
          <w:p w14:paraId="435CD3EA" w14:textId="77777777" w:rsidR="00DF1FDB" w:rsidRPr="00DF1FDB" w:rsidRDefault="00DF1FDB" w:rsidP="00DF1FD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1594" w:type="dxa"/>
            <w:vAlign w:val="center"/>
          </w:tcPr>
          <w:p w14:paraId="5B3A8C87" w14:textId="4A9FCB3B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594" w:type="dxa"/>
            <w:vAlign w:val="center"/>
          </w:tcPr>
          <w:p w14:paraId="2CDDE704" w14:textId="09A9E35D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DF1FDB">
              <w:rPr>
                <w:sz w:val="24"/>
                <w:szCs w:val="24"/>
              </w:rPr>
              <w:t>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594" w:type="dxa"/>
            <w:vAlign w:val="center"/>
          </w:tcPr>
          <w:p w14:paraId="54DDB466" w14:textId="74B4522E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594" w:type="dxa"/>
            <w:vAlign w:val="center"/>
          </w:tcPr>
          <w:p w14:paraId="409FEBE0" w14:textId="4C5260C4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90 %</w:t>
            </w:r>
          </w:p>
        </w:tc>
      </w:tr>
      <w:tr w:rsidR="00DF1FDB" w:rsidRPr="007E1DC1" w14:paraId="7C972E2F" w14:textId="77777777" w:rsidTr="0021259B">
        <w:trPr>
          <w:trHeight w:val="275"/>
        </w:trPr>
        <w:tc>
          <w:tcPr>
            <w:tcW w:w="10421" w:type="dxa"/>
            <w:gridSpan w:val="5"/>
            <w:shd w:val="clear" w:color="auto" w:fill="FFFFFF"/>
            <w:vAlign w:val="center"/>
          </w:tcPr>
          <w:p w14:paraId="03696011" w14:textId="65E480F0" w:rsidR="00DF1FDB" w:rsidRPr="00DF1FDB" w:rsidRDefault="00DF1FDB" w:rsidP="00DF1FDB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</w:t>
            </w:r>
            <w:r w:rsidR="0021259B"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ohledem na ochranu vodních organismů [m]</w:t>
            </w:r>
          </w:p>
        </w:tc>
      </w:tr>
      <w:tr w:rsidR="0021259B" w:rsidRPr="007E1DC1" w14:paraId="6BC96D84" w14:textId="77777777" w:rsidTr="0021259B">
        <w:trPr>
          <w:trHeight w:val="275"/>
        </w:trPr>
        <w:tc>
          <w:tcPr>
            <w:tcW w:w="4045" w:type="dxa"/>
            <w:shd w:val="clear" w:color="auto" w:fill="FFFFFF"/>
            <w:vAlign w:val="center"/>
          </w:tcPr>
          <w:p w14:paraId="46419390" w14:textId="77777777" w:rsidR="0021259B" w:rsidRPr="0021259B" w:rsidRDefault="0021259B" w:rsidP="0021259B">
            <w:pPr>
              <w:pStyle w:val="Textvbloku"/>
              <w:spacing w:before="40" w:after="40" w:line="276" w:lineRule="auto"/>
              <w:ind w:left="0" w:right="0"/>
              <w:rPr>
                <w:bCs/>
                <w:sz w:val="24"/>
                <w:szCs w:val="24"/>
              </w:rPr>
            </w:pPr>
            <w:r w:rsidRPr="0021259B">
              <w:rPr>
                <w:bCs/>
                <w:sz w:val="24"/>
                <w:szCs w:val="24"/>
              </w:rPr>
              <w:t>žito jarní, řepka olejka jarní, brokolice,</w:t>
            </w:r>
          </w:p>
          <w:p w14:paraId="4ED3C240" w14:textId="63B1407B" w:rsidR="0021259B" w:rsidRPr="0021259B" w:rsidRDefault="0021259B" w:rsidP="0021259B">
            <w:pPr>
              <w:pStyle w:val="Textvbloku"/>
              <w:spacing w:before="40" w:after="40" w:line="276" w:lineRule="auto"/>
              <w:ind w:left="0" w:right="0"/>
              <w:rPr>
                <w:bCs/>
                <w:sz w:val="24"/>
                <w:szCs w:val="24"/>
              </w:rPr>
            </w:pPr>
            <w:r w:rsidRPr="0021259B">
              <w:rPr>
                <w:bCs/>
                <w:sz w:val="24"/>
                <w:szCs w:val="24"/>
              </w:rPr>
              <w:t>květák, zelí čínské, zelí pekingské, zelí tronchuda, hořčice sareptská, kapusta hlávková, kapusta kadeřavá, kapusta růžičková, kapusta krmná, fazol, hrách, mrkev, cibule, pór, celer</w:t>
            </w:r>
          </w:p>
        </w:tc>
        <w:tc>
          <w:tcPr>
            <w:tcW w:w="1594" w:type="dxa"/>
            <w:vAlign w:val="center"/>
          </w:tcPr>
          <w:p w14:paraId="2CCFF0C9" w14:textId="2211F1F7" w:rsidR="0021259B" w:rsidRPr="0021259B" w:rsidRDefault="0021259B" w:rsidP="0021259B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21259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94" w:type="dxa"/>
            <w:vAlign w:val="center"/>
          </w:tcPr>
          <w:p w14:paraId="40551933" w14:textId="2CCCE5DB" w:rsidR="0021259B" w:rsidRPr="0021259B" w:rsidRDefault="0021259B" w:rsidP="0021259B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21259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94" w:type="dxa"/>
            <w:vAlign w:val="center"/>
          </w:tcPr>
          <w:p w14:paraId="1BB48CA0" w14:textId="0DEC5367" w:rsidR="0021259B" w:rsidRPr="0021259B" w:rsidRDefault="0021259B" w:rsidP="0021259B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21259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94" w:type="dxa"/>
            <w:vAlign w:val="center"/>
          </w:tcPr>
          <w:p w14:paraId="78839A75" w14:textId="793E85B8" w:rsidR="0021259B" w:rsidRPr="0021259B" w:rsidRDefault="0021259B" w:rsidP="0021259B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21259B">
              <w:rPr>
                <w:bCs/>
                <w:sz w:val="24"/>
                <w:szCs w:val="24"/>
              </w:rPr>
              <w:t>4</w:t>
            </w:r>
          </w:p>
        </w:tc>
      </w:tr>
    </w:tbl>
    <w:p w14:paraId="343284D4" w14:textId="77777777" w:rsidR="0021259B" w:rsidRPr="0021259B" w:rsidRDefault="0021259B" w:rsidP="0021259B">
      <w:pPr>
        <w:spacing w:before="240" w:after="0"/>
        <w:ind w:left="283"/>
        <w:rPr>
          <w:rFonts w:ascii="Times New Roman" w:eastAsia="Times New Roman" w:hAnsi="Times New Roman"/>
          <w:bCs/>
          <w:sz w:val="24"/>
          <w:szCs w:val="24"/>
          <w:highlight w:val="green"/>
          <w:u w:val="single"/>
          <w:lang w:eastAsia="cs-CZ"/>
        </w:rPr>
      </w:pPr>
      <w:r w:rsidRPr="0021259B">
        <w:rPr>
          <w:rFonts w:ascii="Times New Roman" w:eastAsia="Times New Roman" w:hAnsi="Times New Roman"/>
          <w:bCs/>
          <w:sz w:val="24"/>
          <w:szCs w:val="24"/>
          <w:u w:val="single"/>
          <w:lang w:eastAsia="cs-CZ"/>
        </w:rPr>
        <w:t>Cibule, pór, celer, mrkev</w:t>
      </w:r>
      <w:r w:rsidRPr="0021259B">
        <w:rPr>
          <w:rFonts w:ascii="Times New Roman" w:eastAsia="Times New Roman" w:hAnsi="Times New Roman"/>
          <w:bCs/>
          <w:sz w:val="24"/>
          <w:szCs w:val="24"/>
          <w:lang w:eastAsia="cs-CZ"/>
        </w:rPr>
        <w:t>:</w:t>
      </w:r>
    </w:p>
    <w:p w14:paraId="111E849F" w14:textId="05912D09" w:rsidR="0021259B" w:rsidRPr="0021259B" w:rsidRDefault="0021259B" w:rsidP="0021259B">
      <w:pPr>
        <w:spacing w:after="0"/>
        <w:ind w:left="283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21259B">
        <w:rPr>
          <w:rFonts w:ascii="Times New Roman" w:eastAsia="Times New Roman" w:hAnsi="Times New Roman"/>
          <w:bCs/>
          <w:sz w:val="24"/>
          <w:szCs w:val="24"/>
          <w:lang w:eastAsia="cs-CZ"/>
        </w:rPr>
        <w:t>S ohledem na ochranu vodních organismů je vyloučeno použití přípravku na pozemcích svažujících se k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Pr="0021259B">
        <w:rPr>
          <w:rFonts w:ascii="Times New Roman" w:eastAsia="Times New Roman" w:hAnsi="Times New Roman"/>
          <w:bCs/>
          <w:sz w:val="24"/>
          <w:szCs w:val="24"/>
          <w:lang w:eastAsia="cs-CZ"/>
        </w:rPr>
        <w:t>povrchovým vodám. Přípravek lze na těchto pozemcích aplikovat při použití vegetačního pásu o šířce nejméně 5 m.</w:t>
      </w:r>
    </w:p>
    <w:p w14:paraId="78076058" w14:textId="77777777" w:rsidR="00002C6A" w:rsidRDefault="00002C6A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618EC20A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>podle přílohy I odst. 1 písm. u) nařízení Komise (EU) č. 547/2011 přípravek používat:</w:t>
      </w:r>
    </w:p>
    <w:p w14:paraId="17AC652E" w14:textId="52696D5B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31951946" w14:textId="56949388" w:rsidR="00F85A47" w:rsidRDefault="00F85A47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2FBCF1A" w14:textId="77777777" w:rsidR="00D87FBB" w:rsidRPr="00CD5191" w:rsidRDefault="00D87FBB" w:rsidP="00D87FB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00416A0E" w14:textId="1F07D8D8" w:rsidR="0007218C" w:rsidRDefault="0007218C" w:rsidP="00441E5B">
      <w:pPr>
        <w:widowControl w:val="0"/>
        <w:ind w:left="284"/>
        <w:jc w:val="both"/>
        <w:rPr>
          <w:rFonts w:ascii="Times New Roman" w:hAnsi="Times New Roman"/>
          <w:sz w:val="24"/>
          <w:szCs w:val="24"/>
        </w:rPr>
      </w:pPr>
      <w:r w:rsidRPr="0007218C">
        <w:rPr>
          <w:rFonts w:ascii="Times New Roman" w:hAnsi="Times New Roman"/>
          <w:sz w:val="24"/>
          <w:szCs w:val="24"/>
        </w:rPr>
        <w:t>Přípravek je vyloučen z použití v ochranném pásmu II. stupně zdrojů povrchov</w:t>
      </w:r>
      <w:r>
        <w:rPr>
          <w:rFonts w:ascii="Times New Roman" w:hAnsi="Times New Roman"/>
          <w:sz w:val="24"/>
          <w:szCs w:val="24"/>
        </w:rPr>
        <w:t>é</w:t>
      </w:r>
      <w:r w:rsidRPr="0007218C">
        <w:rPr>
          <w:rFonts w:ascii="Times New Roman" w:hAnsi="Times New Roman"/>
          <w:sz w:val="24"/>
          <w:szCs w:val="24"/>
        </w:rPr>
        <w:t xml:space="preserve"> vod</w:t>
      </w:r>
      <w:r>
        <w:rPr>
          <w:rFonts w:ascii="Times New Roman" w:hAnsi="Times New Roman"/>
          <w:sz w:val="24"/>
          <w:szCs w:val="24"/>
        </w:rPr>
        <w:t>y</w:t>
      </w:r>
      <w:r w:rsidRPr="0007218C">
        <w:rPr>
          <w:rFonts w:ascii="Times New Roman" w:hAnsi="Times New Roman"/>
          <w:sz w:val="24"/>
          <w:szCs w:val="24"/>
        </w:rPr>
        <w:t xml:space="preserve"> pro</w:t>
      </w:r>
      <w:r>
        <w:rPr>
          <w:rFonts w:ascii="Times New Roman" w:hAnsi="Times New Roman"/>
          <w:sz w:val="24"/>
          <w:szCs w:val="24"/>
        </w:rPr>
        <w:t> </w:t>
      </w:r>
      <w:r w:rsidRPr="0007218C">
        <w:rPr>
          <w:rFonts w:ascii="Times New Roman" w:hAnsi="Times New Roman"/>
          <w:sz w:val="24"/>
          <w:szCs w:val="24"/>
        </w:rPr>
        <w:t>aplikaci do žita jarního, brokolice, květáku, kapusty růžičkové, kapusty krmné, zelí pekingského, zelí čínského, hořčice sareptské, kapusty hlávkové, kapusty kadeřavé, zelí tronchudy, fazolu obecného, hrachu dřeňového, celeru, mrkve, cibule a póru.</w:t>
      </w:r>
    </w:p>
    <w:p w14:paraId="32752815" w14:textId="641CB8CA" w:rsidR="00D21253" w:rsidRDefault="00837C02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37C02">
        <w:rPr>
          <w:rFonts w:ascii="Times New Roman" w:hAnsi="Times New Roman"/>
          <w:sz w:val="24"/>
          <w:szCs w:val="24"/>
        </w:rPr>
        <w:t>Vstup na ošetřený pozemek je možný až druhý den po aplikaci.</w:t>
      </w:r>
      <w:r>
        <w:rPr>
          <w:rFonts w:ascii="Times New Roman" w:hAnsi="Times New Roman"/>
          <w:sz w:val="24"/>
          <w:szCs w:val="24"/>
        </w:rPr>
        <w:t xml:space="preserve"> </w:t>
      </w:r>
      <w:r w:rsidR="0007218C" w:rsidRPr="0007218C">
        <w:rPr>
          <w:rFonts w:ascii="Times New Roman" w:hAnsi="Times New Roman"/>
          <w:sz w:val="24"/>
          <w:szCs w:val="24"/>
        </w:rPr>
        <w:t>Pro následné práce a ruční sklizeň (8 hod./den) po aplikaci přípravku do zeleniny je nutno navíc použít standardní pracovní oblek a rukavice.</w:t>
      </w:r>
    </w:p>
    <w:p w14:paraId="08FB674F" w14:textId="7DB2ED43" w:rsidR="00837C02" w:rsidRDefault="00837C02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37C02">
        <w:rPr>
          <w:rFonts w:ascii="Times New Roman" w:hAnsi="Times New Roman"/>
          <w:sz w:val="24"/>
          <w:szCs w:val="24"/>
        </w:rPr>
        <w:lastRenderedPageBreak/>
        <w:t xml:space="preserve">Ochranná vzdálenost mezi hranicí ošetřené plochy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837C02">
        <w:rPr>
          <w:rFonts w:ascii="Times New Roman" w:hAnsi="Times New Roman"/>
          <w:sz w:val="24"/>
          <w:szCs w:val="24"/>
        </w:rPr>
        <w:t>hranic</w:t>
      </w:r>
      <w:r>
        <w:rPr>
          <w:rFonts w:ascii="Times New Roman" w:hAnsi="Times New Roman"/>
          <w:sz w:val="24"/>
          <w:szCs w:val="24"/>
        </w:rPr>
        <w:t>í</w:t>
      </w:r>
      <w:r w:rsidRPr="00837C02">
        <w:rPr>
          <w:rFonts w:ascii="Times New Roman" w:hAnsi="Times New Roman"/>
          <w:sz w:val="24"/>
          <w:szCs w:val="24"/>
        </w:rPr>
        <w:t xml:space="preserve"> oblasti využívané zranitelnými skupinami obyvatel nesmí být menší než 5 metrů.</w:t>
      </w:r>
    </w:p>
    <w:p w14:paraId="40A6A24C" w14:textId="77777777" w:rsidR="00D21253" w:rsidRDefault="00D21253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7C29E1D5" w:rsidR="00861476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DC9B1F2" w14:textId="77777777" w:rsidR="00CE21DE" w:rsidRPr="00455210" w:rsidRDefault="00CE21DE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269B41A9" w14:textId="6C94DAF9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ÚKZÚZ v</w:t>
      </w:r>
      <w:r w:rsidR="0021259B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 xml:space="preserve">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</w:t>
      </w:r>
      <w:r w:rsidR="00E8044F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nedostatečnou účinností přípravku nebo jeho případnou fytotoxicitou. Ve smyslu předmětného ustanovení nese tato rizika výlučně osoba používající přípravek.</w:t>
      </w:r>
    </w:p>
    <w:p w14:paraId="0DAB1252" w14:textId="406EDB8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</w:t>
      </w:r>
      <w:r w:rsidR="00E8044F">
        <w:rPr>
          <w:rFonts w:ascii="Times New Roman" w:hAnsi="Times New Roman"/>
          <w:sz w:val="24"/>
          <w:szCs w:val="24"/>
        </w:rPr>
        <w:t> </w:t>
      </w:r>
      <w:r w:rsidR="001F7712" w:rsidRPr="001F7712">
        <w:rPr>
          <w:rFonts w:ascii="Times New Roman" w:hAnsi="Times New Roman"/>
          <w:sz w:val="24"/>
          <w:szCs w:val="24"/>
        </w:rPr>
        <w:t>Sbírce právních předpisů územních samosprávných celků a některých správních úřadů.</w:t>
      </w:r>
    </w:p>
    <w:p w14:paraId="76EA91C0" w14:textId="427C1CC4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441E5B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 xml:space="preserve">dobou platnosti povolení přípravku </w:t>
      </w:r>
      <w:r w:rsidR="00E8044F">
        <w:rPr>
          <w:rFonts w:ascii="Times New Roman" w:hAnsi="Times New Roman"/>
          <w:sz w:val="24"/>
          <w:szCs w:val="24"/>
        </w:rPr>
        <w:t>Afrodyta 250 SC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r w:rsidR="009A521B" w:rsidRPr="009A521B">
        <w:rPr>
          <w:rFonts w:ascii="Times New Roman" w:hAnsi="Times New Roman"/>
          <w:sz w:val="24"/>
          <w:szCs w:val="24"/>
        </w:rPr>
        <w:t>evid.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E8044F">
        <w:rPr>
          <w:rFonts w:ascii="Times New Roman" w:hAnsi="Times New Roman"/>
          <w:sz w:val="24"/>
          <w:szCs w:val="24"/>
        </w:rPr>
        <w:t>5782-0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308AF0DF" w14:textId="77777777" w:rsidR="00A96A33" w:rsidRPr="00455210" w:rsidRDefault="00A96A3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7AAD9ACD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E8044F" w:rsidRPr="00E8044F">
        <w:rPr>
          <w:rFonts w:ascii="Times New Roman" w:hAnsi="Times New Roman"/>
          <w:sz w:val="24"/>
          <w:szCs w:val="24"/>
        </w:rPr>
        <w:t xml:space="preserve">Afrodyta 250 SC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028E5645" w14:textId="77777777" w:rsidR="00D42088" w:rsidRPr="00455210" w:rsidRDefault="00D4208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530B2D18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>. 1 tohoto nařízení je povinna se rovněž řídit etiketou k přípravku.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FD3C2E" w14:textId="77777777" w:rsidR="00CD03D1" w:rsidRDefault="00CD03D1" w:rsidP="00CD03D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6</w:t>
      </w:r>
    </w:p>
    <w:p w14:paraId="24FA69A9" w14:textId="77777777" w:rsidR="00CD03D1" w:rsidRPr="00211CE4" w:rsidRDefault="00CD03D1" w:rsidP="00CD03D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B42DAB" w14:textId="4FA51255" w:rsidR="00CD03D1" w:rsidRPr="00455210" w:rsidRDefault="00CD03D1" w:rsidP="00CD03D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CD03D1">
        <w:rPr>
          <w:rFonts w:ascii="Times New Roman" w:hAnsi="Times New Roman"/>
          <w:sz w:val="24"/>
          <w:szCs w:val="24"/>
        </w:rPr>
        <w:t>UKZUZ 133554/2023</w:t>
      </w:r>
      <w:r w:rsidRPr="00D86581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 xml:space="preserve">9. 8. 2023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6F750B8F" w14:textId="3D8BFE5C" w:rsidR="00F54F5E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A9E66A" w14:textId="2E6B3157" w:rsidR="00A96A33" w:rsidRDefault="00A96A3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5099AA" w14:textId="77777777" w:rsidR="00F51960" w:rsidRPr="00455210" w:rsidRDefault="00F5196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496714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046D77" w14:textId="222DA2A5" w:rsidR="002A3811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8E66F" w14:textId="77777777" w:rsidR="005A7C8F" w:rsidRDefault="005A7C8F" w:rsidP="00CE12AE">
      <w:pPr>
        <w:spacing w:after="0" w:line="240" w:lineRule="auto"/>
      </w:pPr>
      <w:r>
        <w:separator/>
      </w:r>
    </w:p>
  </w:endnote>
  <w:endnote w:type="continuationSeparator" w:id="0">
    <w:p w14:paraId="225DB073" w14:textId="77777777" w:rsidR="005A7C8F" w:rsidRDefault="005A7C8F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DF394" w14:textId="77777777" w:rsidR="005A7C8F" w:rsidRDefault="005A7C8F" w:rsidP="00CE12AE">
      <w:pPr>
        <w:spacing w:after="0" w:line="240" w:lineRule="auto"/>
      </w:pPr>
      <w:r>
        <w:separator/>
      </w:r>
    </w:p>
  </w:footnote>
  <w:footnote w:type="continuationSeparator" w:id="0">
    <w:p w14:paraId="55C8B2E8" w14:textId="77777777" w:rsidR="005A7C8F" w:rsidRDefault="005A7C8F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0005959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CD03D1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4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9"/>
  </w:num>
  <w:num w:numId="2" w16cid:durableId="355739146">
    <w:abstractNumId w:val="5"/>
  </w:num>
  <w:num w:numId="3" w16cid:durableId="2107193058">
    <w:abstractNumId w:val="1"/>
  </w:num>
  <w:num w:numId="4" w16cid:durableId="385108815">
    <w:abstractNumId w:val="7"/>
  </w:num>
  <w:num w:numId="5" w16cid:durableId="105781553">
    <w:abstractNumId w:val="3"/>
  </w:num>
  <w:num w:numId="6" w16cid:durableId="1872718983">
    <w:abstractNumId w:val="2"/>
  </w:num>
  <w:num w:numId="7" w16cid:durableId="1901211247">
    <w:abstractNumId w:val="6"/>
  </w:num>
  <w:num w:numId="8" w16cid:durableId="1934585991">
    <w:abstractNumId w:val="0"/>
  </w:num>
  <w:num w:numId="9" w16cid:durableId="1110247142">
    <w:abstractNumId w:val="4"/>
  </w:num>
  <w:num w:numId="10" w16cid:durableId="9393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18F6"/>
    <w:rsid w:val="00036ACA"/>
    <w:rsid w:val="0004098D"/>
    <w:rsid w:val="00053AA8"/>
    <w:rsid w:val="00060625"/>
    <w:rsid w:val="0006262E"/>
    <w:rsid w:val="00063096"/>
    <w:rsid w:val="00065520"/>
    <w:rsid w:val="0006634E"/>
    <w:rsid w:val="00070DF9"/>
    <w:rsid w:val="00071102"/>
    <w:rsid w:val="0007218C"/>
    <w:rsid w:val="00072478"/>
    <w:rsid w:val="00087009"/>
    <w:rsid w:val="00093864"/>
    <w:rsid w:val="00094C1C"/>
    <w:rsid w:val="00096456"/>
    <w:rsid w:val="000A0B54"/>
    <w:rsid w:val="000A2C53"/>
    <w:rsid w:val="000B1A34"/>
    <w:rsid w:val="000B4579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3A03"/>
    <w:rsid w:val="0014672C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4588"/>
    <w:rsid w:val="00187A02"/>
    <w:rsid w:val="001935B4"/>
    <w:rsid w:val="00196DB0"/>
    <w:rsid w:val="001A4E9A"/>
    <w:rsid w:val="001A564B"/>
    <w:rsid w:val="001B2E7C"/>
    <w:rsid w:val="001C19A5"/>
    <w:rsid w:val="001C2033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1F7E3D"/>
    <w:rsid w:val="0021120D"/>
    <w:rsid w:val="0021158F"/>
    <w:rsid w:val="002115E3"/>
    <w:rsid w:val="00211977"/>
    <w:rsid w:val="0021259B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55020"/>
    <w:rsid w:val="00260FFC"/>
    <w:rsid w:val="00261814"/>
    <w:rsid w:val="0026683C"/>
    <w:rsid w:val="00271024"/>
    <w:rsid w:val="00281645"/>
    <w:rsid w:val="002826F6"/>
    <w:rsid w:val="00284BFB"/>
    <w:rsid w:val="00286C5D"/>
    <w:rsid w:val="002900BA"/>
    <w:rsid w:val="002A011E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50A69"/>
    <w:rsid w:val="00353D1E"/>
    <w:rsid w:val="003552E5"/>
    <w:rsid w:val="00355DD5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45F6"/>
    <w:rsid w:val="004074A3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30F1"/>
    <w:rsid w:val="004346B9"/>
    <w:rsid w:val="00435DB0"/>
    <w:rsid w:val="00441E5B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23C49"/>
    <w:rsid w:val="005251CA"/>
    <w:rsid w:val="0052551A"/>
    <w:rsid w:val="005267C6"/>
    <w:rsid w:val="00534F55"/>
    <w:rsid w:val="00535822"/>
    <w:rsid w:val="0053605D"/>
    <w:rsid w:val="00543FEE"/>
    <w:rsid w:val="005467B8"/>
    <w:rsid w:val="00547281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76C31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A7C8F"/>
    <w:rsid w:val="005B263E"/>
    <w:rsid w:val="005B6145"/>
    <w:rsid w:val="005B7000"/>
    <w:rsid w:val="005B760D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5F76F4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1F2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464DE"/>
    <w:rsid w:val="00746924"/>
    <w:rsid w:val="00757065"/>
    <w:rsid w:val="00765594"/>
    <w:rsid w:val="007665AD"/>
    <w:rsid w:val="0076796B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5293"/>
    <w:rsid w:val="007A6C2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45B0"/>
    <w:rsid w:val="007D5ADD"/>
    <w:rsid w:val="007E1DC1"/>
    <w:rsid w:val="007E6C76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37C02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67AE5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A7B1C"/>
    <w:rsid w:val="008B169B"/>
    <w:rsid w:val="008B24F7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43C6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40529"/>
    <w:rsid w:val="009540ED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55E1"/>
    <w:rsid w:val="00A8660E"/>
    <w:rsid w:val="00A93080"/>
    <w:rsid w:val="00A96A33"/>
    <w:rsid w:val="00A97558"/>
    <w:rsid w:val="00AA433D"/>
    <w:rsid w:val="00AA5374"/>
    <w:rsid w:val="00AA6660"/>
    <w:rsid w:val="00AB0FB3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4549"/>
    <w:rsid w:val="00B95349"/>
    <w:rsid w:val="00B96BB8"/>
    <w:rsid w:val="00BA1AA8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D7D21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2AC3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66B91"/>
    <w:rsid w:val="00C70321"/>
    <w:rsid w:val="00C713C2"/>
    <w:rsid w:val="00C718A3"/>
    <w:rsid w:val="00C72691"/>
    <w:rsid w:val="00C80147"/>
    <w:rsid w:val="00C815E8"/>
    <w:rsid w:val="00C915E3"/>
    <w:rsid w:val="00C91C0B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03D1"/>
    <w:rsid w:val="00CD316E"/>
    <w:rsid w:val="00CD5540"/>
    <w:rsid w:val="00CE0A71"/>
    <w:rsid w:val="00CE12AE"/>
    <w:rsid w:val="00CE21DE"/>
    <w:rsid w:val="00CE7AB5"/>
    <w:rsid w:val="00CF3503"/>
    <w:rsid w:val="00CF7EF3"/>
    <w:rsid w:val="00D02E45"/>
    <w:rsid w:val="00D03728"/>
    <w:rsid w:val="00D06555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3E3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A9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04EF"/>
    <w:rsid w:val="00E415D1"/>
    <w:rsid w:val="00E419C0"/>
    <w:rsid w:val="00E426F4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044F"/>
    <w:rsid w:val="00E8205C"/>
    <w:rsid w:val="00E8281E"/>
    <w:rsid w:val="00E92B90"/>
    <w:rsid w:val="00E95CA6"/>
    <w:rsid w:val="00E9788D"/>
    <w:rsid w:val="00EB2D36"/>
    <w:rsid w:val="00EC33E9"/>
    <w:rsid w:val="00ED0478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1924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859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5</cp:revision>
  <cp:lastPrinted>2021-03-11T06:06:00Z</cp:lastPrinted>
  <dcterms:created xsi:type="dcterms:W3CDTF">2026-03-11T14:30:00Z</dcterms:created>
  <dcterms:modified xsi:type="dcterms:W3CDTF">2026-03-13T06:50:00Z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