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5A2" w:rsidRDefault="007F65A2" w:rsidP="007F65A2">
      <w:pPr>
        <w:shd w:val="clear" w:color="auto" w:fill="FFFFFF"/>
        <w:spacing w:line="315" w:lineRule="atLeast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7F65A2">
        <w:rPr>
          <w:rFonts w:ascii="Arial" w:eastAsia="Times New Roman" w:hAnsi="Arial" w:cs="Arial"/>
          <w:b/>
          <w:sz w:val="28"/>
          <w:szCs w:val="28"/>
          <w:lang w:eastAsia="cs-CZ"/>
        </w:rPr>
        <w:t>MĚSTO PROSTĚJOV</w:t>
      </w:r>
      <w:r w:rsidRPr="007F65A2">
        <w:rPr>
          <w:rFonts w:ascii="Arial" w:eastAsia="Times New Roman" w:hAnsi="Arial" w:cs="Arial"/>
          <w:b/>
          <w:sz w:val="28"/>
          <w:szCs w:val="28"/>
          <w:lang w:eastAsia="cs-CZ"/>
        </w:rPr>
        <w:br/>
        <w:t>Rada města Prostějova</w:t>
      </w:r>
    </w:p>
    <w:p w:rsidR="007F65A2" w:rsidRPr="007F65A2" w:rsidRDefault="007F65A2" w:rsidP="007F65A2">
      <w:pPr>
        <w:shd w:val="clear" w:color="auto" w:fill="FFFFFF"/>
        <w:spacing w:line="315" w:lineRule="atLeast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bookmarkStart w:id="0" w:name="_GoBack"/>
      <w:bookmarkEnd w:id="0"/>
    </w:p>
    <w:p w:rsidR="007F65A2" w:rsidRPr="007F65A2" w:rsidRDefault="007F65A2" w:rsidP="007F65A2">
      <w:pPr>
        <w:shd w:val="clear" w:color="auto" w:fill="FFFFFF"/>
        <w:spacing w:line="428" w:lineRule="atLeast"/>
        <w:jc w:val="center"/>
        <w:outlineLvl w:val="3"/>
        <w:rPr>
          <w:rFonts w:ascii="Arial" w:eastAsia="Times New Roman" w:hAnsi="Arial" w:cs="Arial"/>
          <w:b/>
          <w:bCs/>
          <w:sz w:val="29"/>
          <w:szCs w:val="29"/>
          <w:lang w:eastAsia="cs-CZ"/>
        </w:rPr>
      </w:pPr>
      <w:r w:rsidRPr="007F65A2">
        <w:rPr>
          <w:rFonts w:ascii="Arial" w:eastAsia="Times New Roman" w:hAnsi="Arial" w:cs="Arial"/>
          <w:b/>
          <w:bCs/>
          <w:sz w:val="29"/>
          <w:szCs w:val="29"/>
          <w:lang w:eastAsia="cs-CZ"/>
        </w:rPr>
        <w:t>Nařízení města č.10/2004</w:t>
      </w:r>
      <w:r w:rsidRPr="007F65A2">
        <w:rPr>
          <w:rFonts w:ascii="Arial" w:eastAsia="Times New Roman" w:hAnsi="Arial" w:cs="Arial"/>
          <w:b/>
          <w:bCs/>
          <w:sz w:val="29"/>
          <w:szCs w:val="29"/>
          <w:lang w:eastAsia="cs-CZ"/>
        </w:rPr>
        <w:br/>
        <w:t>o placeném parkování na území města Prostějova</w:t>
      </w:r>
    </w:p>
    <w:p w:rsidR="007F65A2" w:rsidRPr="007F65A2" w:rsidRDefault="007F65A2" w:rsidP="007F65A2">
      <w:pPr>
        <w:shd w:val="clear" w:color="auto" w:fill="FFFFFF"/>
        <w:spacing w:before="150" w:after="150" w:line="315" w:lineRule="atLeast"/>
        <w:rPr>
          <w:rFonts w:ascii="Arial" w:eastAsia="Times New Roman" w:hAnsi="Arial" w:cs="Arial"/>
          <w:sz w:val="21"/>
          <w:szCs w:val="21"/>
          <w:lang w:eastAsia="cs-CZ"/>
        </w:rPr>
      </w:pPr>
      <w:r w:rsidRPr="007F65A2">
        <w:rPr>
          <w:rFonts w:ascii="Arial" w:eastAsia="Times New Roman" w:hAnsi="Arial" w:cs="Arial"/>
          <w:sz w:val="21"/>
          <w:szCs w:val="21"/>
          <w:lang w:eastAsia="cs-CZ"/>
        </w:rPr>
        <w:t> </w:t>
      </w:r>
    </w:p>
    <w:p w:rsidR="007F65A2" w:rsidRPr="007F65A2" w:rsidRDefault="007F65A2" w:rsidP="007F65A2">
      <w:pPr>
        <w:shd w:val="clear" w:color="auto" w:fill="FFFFFF"/>
        <w:spacing w:before="150" w:after="150" w:line="315" w:lineRule="atLeast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7F65A2">
        <w:rPr>
          <w:rFonts w:ascii="Arial" w:eastAsia="Times New Roman" w:hAnsi="Arial" w:cs="Arial"/>
          <w:sz w:val="21"/>
          <w:szCs w:val="21"/>
          <w:lang w:eastAsia="cs-CZ"/>
        </w:rPr>
        <w:t>Rada města Prostějova se usnesla na své schůzi konané dne 5. 10. 2004 vydat podle § 23 odst. l zákona č. 13/1997 Sb., o pozemních komunikacích, ve znění pozdějších předpisů, a v souladu s § 11 zákona č. 128/2000 Sb., o obcích (obecní zřízení), ve znění pozdějších předpisů, toto nařízení města Prostějova:</w:t>
      </w:r>
    </w:p>
    <w:p w:rsidR="007F65A2" w:rsidRPr="007F65A2" w:rsidRDefault="007F65A2" w:rsidP="007F65A2">
      <w:pPr>
        <w:shd w:val="clear" w:color="auto" w:fill="FFFFFF"/>
        <w:spacing w:line="315" w:lineRule="atLeast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7F65A2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Čl. 1</w:t>
      </w:r>
      <w:r w:rsidRPr="007F65A2">
        <w:rPr>
          <w:rFonts w:ascii="Arial" w:eastAsia="Times New Roman" w:hAnsi="Arial" w:cs="Arial"/>
          <w:b/>
          <w:bCs/>
          <w:sz w:val="21"/>
          <w:szCs w:val="21"/>
          <w:lang w:eastAsia="cs-CZ"/>
        </w:rPr>
        <w:br/>
        <w:t>Předmět úpravy</w:t>
      </w:r>
    </w:p>
    <w:p w:rsidR="007F65A2" w:rsidRPr="007F65A2" w:rsidRDefault="007F65A2" w:rsidP="007F65A2">
      <w:pPr>
        <w:shd w:val="clear" w:color="auto" w:fill="FFFFFF"/>
        <w:spacing w:before="150" w:after="150" w:line="315" w:lineRule="atLeast"/>
        <w:rPr>
          <w:rFonts w:ascii="Arial" w:eastAsia="Times New Roman" w:hAnsi="Arial" w:cs="Arial"/>
          <w:sz w:val="21"/>
          <w:szCs w:val="21"/>
          <w:lang w:eastAsia="cs-CZ"/>
        </w:rPr>
      </w:pPr>
      <w:r w:rsidRPr="007F65A2">
        <w:rPr>
          <w:rFonts w:ascii="Arial" w:eastAsia="Times New Roman" w:hAnsi="Arial" w:cs="Arial"/>
          <w:sz w:val="21"/>
          <w:szCs w:val="21"/>
          <w:lang w:eastAsia="cs-CZ"/>
        </w:rPr>
        <w:t> </w:t>
      </w:r>
    </w:p>
    <w:p w:rsidR="007F65A2" w:rsidRPr="007F65A2" w:rsidRDefault="007F65A2" w:rsidP="007F65A2">
      <w:pPr>
        <w:shd w:val="clear" w:color="auto" w:fill="FFFFFF"/>
        <w:spacing w:line="315" w:lineRule="atLeast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7F65A2">
        <w:rPr>
          <w:rFonts w:ascii="Arial" w:eastAsia="Times New Roman" w:hAnsi="Arial" w:cs="Arial"/>
          <w:sz w:val="21"/>
          <w:szCs w:val="21"/>
          <w:lang w:eastAsia="cs-CZ"/>
        </w:rPr>
        <w:t>1. Toto nařízení vymezuje oblasti města Prostějova, ve kterých je v zájmu zajištění a organizování dopravy a maximálního využití parkovacích míst na území města Prostějova možné užít místní komunikace nebo jejich určené úseky, včetně parkovišť placeného parkování, k stání silničního motorového vozidla za cenu sjednanou v souladu s cenovými předpisy </w:t>
      </w:r>
      <w:bookmarkStart w:id="1" w:name="_ftnref1"/>
      <w:r w:rsidRPr="007F65A2">
        <w:rPr>
          <w:rFonts w:ascii="Arial" w:eastAsia="Times New Roman" w:hAnsi="Arial" w:cs="Arial"/>
          <w:sz w:val="21"/>
          <w:szCs w:val="21"/>
          <w:u w:val="single"/>
          <w:lang w:eastAsia="cs-CZ"/>
        </w:rPr>
        <w:t>1)</w:t>
      </w:r>
      <w:bookmarkEnd w:id="1"/>
      <w:r w:rsidRPr="007F65A2">
        <w:rPr>
          <w:rFonts w:ascii="Arial" w:eastAsia="Times New Roman" w:hAnsi="Arial" w:cs="Arial"/>
          <w:sz w:val="21"/>
          <w:szCs w:val="21"/>
          <w:lang w:eastAsia="cs-CZ"/>
        </w:rPr>
        <w:t>.</w:t>
      </w:r>
    </w:p>
    <w:p w:rsidR="007F65A2" w:rsidRPr="007F65A2" w:rsidRDefault="007F65A2" w:rsidP="007F65A2">
      <w:pPr>
        <w:shd w:val="clear" w:color="auto" w:fill="FFFFFF"/>
        <w:spacing w:before="150" w:after="150" w:line="315" w:lineRule="atLeast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7F65A2">
        <w:rPr>
          <w:rFonts w:ascii="Arial" w:eastAsia="Times New Roman" w:hAnsi="Arial" w:cs="Arial"/>
          <w:sz w:val="21"/>
          <w:szCs w:val="21"/>
          <w:lang w:eastAsia="cs-CZ"/>
        </w:rPr>
        <w:t>2. Toto nařízení stanoví dále způsob placení sjednané ceny a způsob prokazování zaplacení ceny za užití místních komunikací nebo jejich určených úseků k stání silničního motorového vozidla (dále jen "vozidlo").</w:t>
      </w:r>
    </w:p>
    <w:p w:rsidR="007F65A2" w:rsidRPr="007F65A2" w:rsidRDefault="007F65A2" w:rsidP="007F65A2">
      <w:pPr>
        <w:shd w:val="clear" w:color="auto" w:fill="FFFFFF"/>
        <w:spacing w:line="315" w:lineRule="atLeast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7F65A2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Článek 2</w:t>
      </w:r>
      <w:r w:rsidRPr="007F65A2">
        <w:rPr>
          <w:rFonts w:ascii="Arial" w:eastAsia="Times New Roman" w:hAnsi="Arial" w:cs="Arial"/>
          <w:b/>
          <w:bCs/>
          <w:sz w:val="21"/>
          <w:szCs w:val="21"/>
          <w:lang w:eastAsia="cs-CZ"/>
        </w:rPr>
        <w:br/>
        <w:t>Výklad pojmů</w:t>
      </w:r>
    </w:p>
    <w:p w:rsidR="007F65A2" w:rsidRPr="007F65A2" w:rsidRDefault="007F65A2" w:rsidP="007F65A2">
      <w:pPr>
        <w:shd w:val="clear" w:color="auto" w:fill="FFFFFF"/>
        <w:spacing w:before="150" w:after="150" w:line="315" w:lineRule="atLeast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7F65A2">
        <w:rPr>
          <w:rFonts w:ascii="Arial" w:eastAsia="Times New Roman" w:hAnsi="Arial" w:cs="Arial"/>
          <w:sz w:val="21"/>
          <w:szCs w:val="21"/>
          <w:lang w:eastAsia="cs-CZ"/>
        </w:rPr>
        <w:t>1. Parkováním se pro účely této vyhlášky rozumí používání místní komunikace k umístění vozidla.</w:t>
      </w:r>
    </w:p>
    <w:p w:rsidR="007F65A2" w:rsidRPr="007F65A2" w:rsidRDefault="007F65A2" w:rsidP="007F65A2">
      <w:pPr>
        <w:shd w:val="clear" w:color="auto" w:fill="FFFFFF"/>
        <w:spacing w:line="315" w:lineRule="atLeast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7F65A2">
        <w:rPr>
          <w:rFonts w:ascii="Arial" w:eastAsia="Times New Roman" w:hAnsi="Arial" w:cs="Arial"/>
          <w:sz w:val="21"/>
          <w:szCs w:val="21"/>
          <w:lang w:eastAsia="cs-CZ"/>
        </w:rPr>
        <w:t>2. Stáním se pro účely této vyhlášky rozumí uvedení vozidla do klidu nad dobu povolenou pro zastavení vozidla</w:t>
      </w:r>
      <w:bookmarkStart w:id="2" w:name="_ftnref2"/>
      <w:r w:rsidRPr="007F65A2">
        <w:rPr>
          <w:rFonts w:ascii="Arial" w:eastAsia="Times New Roman" w:hAnsi="Arial" w:cs="Arial"/>
          <w:sz w:val="21"/>
          <w:szCs w:val="21"/>
          <w:u w:val="single"/>
          <w:lang w:eastAsia="cs-CZ"/>
        </w:rPr>
        <w:t>2)</w:t>
      </w:r>
      <w:bookmarkEnd w:id="2"/>
      <w:r w:rsidRPr="007F65A2">
        <w:rPr>
          <w:rFonts w:ascii="Arial" w:eastAsia="Times New Roman" w:hAnsi="Arial" w:cs="Arial"/>
          <w:sz w:val="21"/>
          <w:szCs w:val="21"/>
          <w:lang w:eastAsia="cs-CZ"/>
        </w:rPr>
        <w:t>, tedy stáním se rozumí rovněž parkování vozidla.</w:t>
      </w:r>
    </w:p>
    <w:p w:rsidR="007F65A2" w:rsidRPr="007F65A2" w:rsidRDefault="007F65A2" w:rsidP="007F65A2">
      <w:pPr>
        <w:shd w:val="clear" w:color="auto" w:fill="FFFFFF"/>
        <w:spacing w:line="315" w:lineRule="atLeast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7F65A2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Čl. 3</w:t>
      </w:r>
      <w:r w:rsidRPr="007F65A2">
        <w:rPr>
          <w:rFonts w:ascii="Arial" w:eastAsia="Times New Roman" w:hAnsi="Arial" w:cs="Arial"/>
          <w:b/>
          <w:bCs/>
          <w:sz w:val="21"/>
          <w:szCs w:val="21"/>
          <w:lang w:eastAsia="cs-CZ"/>
        </w:rPr>
        <w:br/>
        <w:t>Zpoplatněná stání vozidel</w:t>
      </w:r>
    </w:p>
    <w:p w:rsidR="007F65A2" w:rsidRPr="007F65A2" w:rsidRDefault="007F65A2" w:rsidP="007F65A2">
      <w:pPr>
        <w:shd w:val="clear" w:color="auto" w:fill="FFFFFF"/>
        <w:spacing w:line="315" w:lineRule="atLeast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7F65A2">
        <w:rPr>
          <w:rFonts w:ascii="Arial" w:eastAsia="Times New Roman" w:hAnsi="Arial" w:cs="Arial"/>
          <w:sz w:val="21"/>
          <w:szCs w:val="21"/>
          <w:lang w:eastAsia="cs-CZ"/>
        </w:rPr>
        <w:t>l. Místní komunikace nebo jejich úseky, které lze užít ke stání silničních motorových vozidel na dobu časově omezenou, nejvýše však na 24 hodin, jen po zaplacení ceny sjednané v souladu s cenovými předpisy</w:t>
      </w:r>
      <w:r w:rsidRPr="007F65A2">
        <w:rPr>
          <w:rFonts w:ascii="Arial" w:eastAsia="Times New Roman" w:hAnsi="Arial" w:cs="Arial"/>
          <w:sz w:val="21"/>
          <w:szCs w:val="21"/>
          <w:vertAlign w:val="superscript"/>
          <w:lang w:eastAsia="cs-CZ"/>
        </w:rPr>
        <w:t>1)</w:t>
      </w:r>
      <w:r w:rsidRPr="007F65A2">
        <w:rPr>
          <w:rFonts w:ascii="Arial" w:eastAsia="Times New Roman" w:hAnsi="Arial" w:cs="Arial"/>
          <w:sz w:val="21"/>
          <w:szCs w:val="21"/>
          <w:lang w:eastAsia="cs-CZ"/>
        </w:rPr>
        <w:t>, jsou určeny v příloze tohoto nařízení. Takto vymezené komunikace a jejich úseky musí být označeny příslušnou dopravní značkou dle zvláštního předpisu </w:t>
      </w:r>
      <w:bookmarkStart w:id="3" w:name="_ftnref3"/>
      <w:r w:rsidRPr="007F65A2">
        <w:rPr>
          <w:rFonts w:ascii="Arial" w:eastAsia="Times New Roman" w:hAnsi="Arial" w:cs="Arial"/>
          <w:sz w:val="21"/>
          <w:szCs w:val="21"/>
          <w:u w:val="single"/>
          <w:lang w:eastAsia="cs-CZ"/>
        </w:rPr>
        <w:t>3)</w:t>
      </w:r>
      <w:bookmarkEnd w:id="3"/>
      <w:r w:rsidRPr="007F65A2">
        <w:rPr>
          <w:rFonts w:ascii="Arial" w:eastAsia="Times New Roman" w:hAnsi="Arial" w:cs="Arial"/>
          <w:sz w:val="21"/>
          <w:szCs w:val="21"/>
          <w:lang w:eastAsia="cs-CZ"/>
        </w:rPr>
        <w:t>.</w:t>
      </w:r>
    </w:p>
    <w:p w:rsidR="007F65A2" w:rsidRPr="007F65A2" w:rsidRDefault="007F65A2" w:rsidP="007F65A2">
      <w:pPr>
        <w:shd w:val="clear" w:color="auto" w:fill="FFFFFF"/>
        <w:spacing w:before="150" w:after="150" w:line="315" w:lineRule="atLeast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7F65A2">
        <w:rPr>
          <w:rFonts w:ascii="Arial" w:eastAsia="Times New Roman" w:hAnsi="Arial" w:cs="Arial"/>
          <w:sz w:val="21"/>
          <w:szCs w:val="21"/>
          <w:lang w:eastAsia="cs-CZ"/>
        </w:rPr>
        <w:t>2. Cenu za užívání těchto stání musí řidič uhradit neprodleně po zaparkování (odstavení) vozidla prostřednictvím parkovacích automatů, případně obsluhy parkoviště. Zaplacení ceny za parkování řidič prokazuje přijatým dokladem o zaplacení ceny parkování. Doklad o zaplacení ceny parkování musí být umístěn viditelně za čelním sklem vozidla po celou dobu užívání těchto stání.</w:t>
      </w:r>
    </w:p>
    <w:p w:rsidR="007F65A2" w:rsidRPr="007F65A2" w:rsidRDefault="007F65A2" w:rsidP="007F65A2">
      <w:pPr>
        <w:shd w:val="clear" w:color="auto" w:fill="FFFFFF"/>
        <w:spacing w:line="315" w:lineRule="atLeast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7F65A2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Čl. 4</w:t>
      </w:r>
      <w:r w:rsidRPr="007F65A2">
        <w:rPr>
          <w:rFonts w:ascii="Arial" w:eastAsia="Times New Roman" w:hAnsi="Arial" w:cs="Arial"/>
          <w:b/>
          <w:bCs/>
          <w:sz w:val="21"/>
          <w:szCs w:val="21"/>
          <w:lang w:eastAsia="cs-CZ"/>
        </w:rPr>
        <w:br/>
        <w:t>Ustanovení společná a závěrečná</w:t>
      </w:r>
    </w:p>
    <w:p w:rsidR="007F65A2" w:rsidRPr="007F65A2" w:rsidRDefault="007F65A2" w:rsidP="007F65A2">
      <w:pPr>
        <w:shd w:val="clear" w:color="auto" w:fill="FFFFFF"/>
        <w:spacing w:before="150" w:after="150" w:line="315" w:lineRule="atLeast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7F65A2">
        <w:rPr>
          <w:rFonts w:ascii="Arial" w:eastAsia="Times New Roman" w:hAnsi="Arial" w:cs="Arial"/>
          <w:sz w:val="21"/>
          <w:szCs w:val="21"/>
          <w:lang w:eastAsia="cs-CZ"/>
        </w:rPr>
        <w:lastRenderedPageBreak/>
        <w:t>1. Kontrolu dodržování tohoto nařízení provádí Městská policie Prostějov.</w:t>
      </w:r>
    </w:p>
    <w:p w:rsidR="007F65A2" w:rsidRPr="007F65A2" w:rsidRDefault="007F65A2" w:rsidP="007F65A2">
      <w:pPr>
        <w:shd w:val="clear" w:color="auto" w:fill="FFFFFF"/>
        <w:spacing w:line="315" w:lineRule="atLeast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7F65A2">
        <w:rPr>
          <w:rFonts w:ascii="Arial" w:eastAsia="Times New Roman" w:hAnsi="Arial" w:cs="Arial"/>
          <w:sz w:val="21"/>
          <w:szCs w:val="21"/>
          <w:lang w:eastAsia="cs-CZ"/>
        </w:rPr>
        <w:t>2. Porušení tohoto nařízení je přestupkem, nejde-li o jiný správní delikt postižitelný podle zvláštních předpisů</w:t>
      </w:r>
      <w:bookmarkStart w:id="4" w:name="_ftnref4"/>
      <w:r w:rsidRPr="007F65A2">
        <w:rPr>
          <w:rFonts w:ascii="Arial" w:eastAsia="Times New Roman" w:hAnsi="Arial" w:cs="Arial"/>
          <w:sz w:val="21"/>
          <w:szCs w:val="21"/>
          <w:u w:val="single"/>
          <w:lang w:eastAsia="cs-CZ"/>
        </w:rPr>
        <w:t>4)</w:t>
      </w:r>
      <w:bookmarkEnd w:id="4"/>
      <w:r w:rsidRPr="007F65A2">
        <w:rPr>
          <w:rFonts w:ascii="Arial" w:eastAsia="Times New Roman" w:hAnsi="Arial" w:cs="Arial"/>
          <w:sz w:val="21"/>
          <w:szCs w:val="21"/>
          <w:lang w:eastAsia="cs-CZ"/>
        </w:rPr>
        <w:t>anebo o trestný čin.</w:t>
      </w:r>
    </w:p>
    <w:p w:rsidR="007F65A2" w:rsidRPr="007F65A2" w:rsidRDefault="007F65A2" w:rsidP="007F65A2">
      <w:pPr>
        <w:shd w:val="clear" w:color="auto" w:fill="FFFFFF"/>
        <w:spacing w:before="150" w:after="150" w:line="315" w:lineRule="atLeast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7F65A2">
        <w:rPr>
          <w:rFonts w:ascii="Arial" w:eastAsia="Times New Roman" w:hAnsi="Arial" w:cs="Arial"/>
          <w:sz w:val="21"/>
          <w:szCs w:val="21"/>
          <w:lang w:eastAsia="cs-CZ"/>
        </w:rPr>
        <w:t>3. Toto nařízení města nabývá účinnosti patnáctým dnem po dni jeho vyhlášení.</w:t>
      </w:r>
    </w:p>
    <w:p w:rsidR="007F65A2" w:rsidRPr="007F65A2" w:rsidRDefault="007F65A2" w:rsidP="007F65A2">
      <w:pPr>
        <w:shd w:val="clear" w:color="auto" w:fill="FFFFFF"/>
        <w:spacing w:before="150" w:after="150" w:line="315" w:lineRule="atLeast"/>
        <w:rPr>
          <w:rFonts w:ascii="Arial" w:eastAsia="Times New Roman" w:hAnsi="Arial" w:cs="Arial"/>
          <w:sz w:val="21"/>
          <w:szCs w:val="21"/>
          <w:lang w:eastAsia="cs-CZ"/>
        </w:rPr>
      </w:pPr>
      <w:r w:rsidRPr="007F65A2">
        <w:rPr>
          <w:rFonts w:ascii="Arial" w:eastAsia="Times New Roman" w:hAnsi="Arial" w:cs="Arial"/>
          <w:sz w:val="21"/>
          <w:szCs w:val="21"/>
          <w:lang w:eastAsia="cs-CZ"/>
        </w:rPr>
        <w:t>  </w:t>
      </w:r>
    </w:p>
    <w:tbl>
      <w:tblPr>
        <w:tblW w:w="94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5"/>
        <w:gridCol w:w="5132"/>
      </w:tblGrid>
      <w:tr w:rsidR="007F65A2" w:rsidRPr="007F65A2" w:rsidTr="007F65A2">
        <w:trPr>
          <w:trHeight w:val="1783"/>
        </w:trPr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F65A2" w:rsidRPr="007F65A2" w:rsidRDefault="007F65A2" w:rsidP="007F65A2">
            <w:pPr>
              <w:spacing w:line="315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7F65A2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Ing. Jan Tesař, v. r.</w:t>
            </w:r>
            <w:r w:rsidRPr="007F65A2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br/>
              <w:t>starosta města Prostějova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F65A2" w:rsidRPr="007F65A2" w:rsidRDefault="007F65A2" w:rsidP="007F65A2">
            <w:pPr>
              <w:spacing w:before="150" w:after="150" w:line="315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7F65A2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 </w:t>
            </w:r>
          </w:p>
          <w:p w:rsidR="007F65A2" w:rsidRPr="007F65A2" w:rsidRDefault="007F65A2" w:rsidP="007F65A2">
            <w:pPr>
              <w:spacing w:line="315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7F65A2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 xml:space="preserve">Bc. Alois </w:t>
            </w:r>
            <w:proofErr w:type="spellStart"/>
            <w:r w:rsidRPr="007F65A2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Mačák</w:t>
            </w:r>
            <w:proofErr w:type="spellEnd"/>
            <w:r w:rsidRPr="007F65A2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, v. r.</w:t>
            </w:r>
            <w:r w:rsidRPr="007F65A2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br/>
              <w:t>místostarosta města Prostějova</w:t>
            </w:r>
          </w:p>
          <w:p w:rsidR="007F65A2" w:rsidRPr="007F65A2" w:rsidRDefault="007F65A2" w:rsidP="007F65A2">
            <w:pPr>
              <w:spacing w:before="150" w:after="150" w:line="315" w:lineRule="atLeast"/>
              <w:rPr>
                <w:rFonts w:ascii="Arial" w:eastAsia="Times New Roman" w:hAnsi="Arial" w:cs="Arial"/>
                <w:sz w:val="21"/>
                <w:szCs w:val="21"/>
                <w:lang w:eastAsia="cs-CZ"/>
              </w:rPr>
            </w:pPr>
            <w:r w:rsidRPr="007F65A2">
              <w:rPr>
                <w:rFonts w:ascii="Arial" w:eastAsia="Times New Roman" w:hAnsi="Arial" w:cs="Arial"/>
                <w:sz w:val="21"/>
                <w:szCs w:val="21"/>
                <w:lang w:eastAsia="cs-CZ"/>
              </w:rPr>
              <w:t> </w:t>
            </w:r>
          </w:p>
        </w:tc>
      </w:tr>
    </w:tbl>
    <w:p w:rsidR="007F65A2" w:rsidRPr="007F65A2" w:rsidRDefault="007F65A2" w:rsidP="007F65A2">
      <w:pPr>
        <w:shd w:val="clear" w:color="auto" w:fill="FFFFFF"/>
        <w:spacing w:line="315" w:lineRule="atLeast"/>
        <w:rPr>
          <w:rFonts w:ascii="Arial" w:eastAsia="Times New Roman" w:hAnsi="Arial" w:cs="Arial"/>
          <w:sz w:val="21"/>
          <w:szCs w:val="21"/>
          <w:lang w:eastAsia="cs-CZ"/>
        </w:rPr>
      </w:pPr>
      <w:r w:rsidRPr="007F65A2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</w:p>
    <w:p w:rsidR="007F65A2" w:rsidRPr="007F65A2" w:rsidRDefault="007F65A2" w:rsidP="007F65A2">
      <w:pPr>
        <w:shd w:val="clear" w:color="auto" w:fill="FFFFFF"/>
        <w:spacing w:line="315" w:lineRule="atLeast"/>
        <w:rPr>
          <w:rFonts w:ascii="Arial" w:eastAsia="Times New Roman" w:hAnsi="Arial" w:cs="Arial"/>
          <w:sz w:val="21"/>
          <w:szCs w:val="21"/>
          <w:lang w:eastAsia="cs-CZ"/>
        </w:rPr>
      </w:pPr>
      <w:r w:rsidRPr="007F65A2">
        <w:rPr>
          <w:rFonts w:ascii="Arial" w:eastAsia="Times New Roman" w:hAnsi="Arial" w:cs="Arial"/>
          <w:sz w:val="21"/>
          <w:szCs w:val="21"/>
          <w:lang w:eastAsia="cs-CZ"/>
        </w:rPr>
        <w:t>Příloha</w:t>
      </w:r>
      <w:r w:rsidRPr="007F65A2">
        <w:rPr>
          <w:rFonts w:ascii="Arial" w:eastAsia="Times New Roman" w:hAnsi="Arial" w:cs="Arial"/>
          <w:sz w:val="21"/>
          <w:szCs w:val="21"/>
          <w:lang w:eastAsia="cs-CZ"/>
        </w:rPr>
        <w:br/>
        <w:t>k nařízení města Prostějova č. 10/2</w:t>
      </w:r>
      <w:r>
        <w:rPr>
          <w:rFonts w:ascii="Arial" w:eastAsia="Times New Roman" w:hAnsi="Arial" w:cs="Arial"/>
          <w:sz w:val="21"/>
          <w:szCs w:val="21"/>
          <w:lang w:eastAsia="cs-CZ"/>
        </w:rPr>
        <w:t>004</w:t>
      </w:r>
    </w:p>
    <w:p w:rsidR="007F65A2" w:rsidRPr="007F65A2" w:rsidRDefault="007F65A2" w:rsidP="007F65A2">
      <w:pPr>
        <w:shd w:val="clear" w:color="auto" w:fill="FFFFFF"/>
        <w:spacing w:line="315" w:lineRule="atLeast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 w:rsidRPr="007F65A2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Zpoplatněné místní komunikace nebo jejich úseky, na nichž je povoleno stání vozidel jen po zaplacení ceny</w:t>
      </w:r>
    </w:p>
    <w:p w:rsidR="007F65A2" w:rsidRPr="007F65A2" w:rsidRDefault="007F65A2" w:rsidP="007F65A2">
      <w:pPr>
        <w:shd w:val="clear" w:color="auto" w:fill="FFFFFF"/>
        <w:spacing w:line="315" w:lineRule="atLeast"/>
        <w:rPr>
          <w:rFonts w:ascii="Arial" w:eastAsia="Times New Roman" w:hAnsi="Arial" w:cs="Arial"/>
          <w:sz w:val="21"/>
          <w:szCs w:val="21"/>
          <w:lang w:eastAsia="cs-CZ"/>
        </w:rPr>
      </w:pPr>
      <w:r w:rsidRPr="007F65A2">
        <w:rPr>
          <w:rFonts w:ascii="Arial" w:eastAsia="Times New Roman" w:hAnsi="Arial" w:cs="Arial"/>
          <w:sz w:val="21"/>
          <w:szCs w:val="21"/>
          <w:lang w:eastAsia="cs-CZ"/>
        </w:rPr>
        <w:t>- Křížkovského ulice</w:t>
      </w:r>
      <w:r w:rsidRPr="007F65A2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- Nám. E. </w:t>
      </w:r>
      <w:proofErr w:type="spellStart"/>
      <w:r w:rsidRPr="007F65A2">
        <w:rPr>
          <w:rFonts w:ascii="Arial" w:eastAsia="Times New Roman" w:hAnsi="Arial" w:cs="Arial"/>
          <w:sz w:val="21"/>
          <w:szCs w:val="21"/>
          <w:lang w:eastAsia="cs-CZ"/>
        </w:rPr>
        <w:t>Husserla</w:t>
      </w:r>
      <w:proofErr w:type="spellEnd"/>
      <w:r w:rsidRPr="007F65A2">
        <w:rPr>
          <w:rFonts w:ascii="Arial" w:eastAsia="Times New Roman" w:hAnsi="Arial" w:cs="Arial"/>
          <w:sz w:val="21"/>
          <w:szCs w:val="21"/>
          <w:lang w:eastAsia="cs-CZ"/>
        </w:rPr>
        <w:br/>
        <w:t>- Hlaváčkovo nám.</w:t>
      </w:r>
      <w:r w:rsidRPr="007F65A2">
        <w:rPr>
          <w:rFonts w:ascii="Arial" w:eastAsia="Times New Roman" w:hAnsi="Arial" w:cs="Arial"/>
          <w:sz w:val="21"/>
          <w:szCs w:val="21"/>
          <w:lang w:eastAsia="cs-CZ"/>
        </w:rPr>
        <w:br/>
        <w:t>- Školní ul.</w:t>
      </w:r>
      <w:r w:rsidRPr="007F65A2">
        <w:rPr>
          <w:rFonts w:ascii="Arial" w:eastAsia="Times New Roman" w:hAnsi="Arial" w:cs="Arial"/>
          <w:sz w:val="21"/>
          <w:szCs w:val="21"/>
          <w:lang w:eastAsia="cs-CZ"/>
        </w:rPr>
        <w:br/>
        <w:t>- Mlýnská ul.</w:t>
      </w:r>
      <w:r w:rsidRPr="007F65A2">
        <w:rPr>
          <w:rFonts w:ascii="Arial" w:eastAsia="Times New Roman" w:hAnsi="Arial" w:cs="Arial"/>
          <w:sz w:val="21"/>
          <w:szCs w:val="21"/>
          <w:lang w:eastAsia="cs-CZ"/>
        </w:rPr>
        <w:br/>
        <w:t>- Plumlovská ul. (vedle bývalého OD Kubus)</w:t>
      </w:r>
    </w:p>
    <w:p w:rsidR="007F65A2" w:rsidRPr="007F65A2" w:rsidRDefault="007F65A2" w:rsidP="007F65A2">
      <w:pPr>
        <w:rPr>
          <w:rFonts w:eastAsia="Times New Roman" w:cs="Times New Roman"/>
          <w:sz w:val="24"/>
          <w:szCs w:val="24"/>
          <w:lang w:eastAsia="cs-CZ"/>
        </w:rPr>
      </w:pPr>
      <w:r w:rsidRPr="007F65A2">
        <w:rPr>
          <w:rFonts w:eastAsia="Times New Roman" w:cs="Times New Roman"/>
          <w:sz w:val="24"/>
          <w:szCs w:val="24"/>
          <w:lang w:eastAsia="cs-CZ"/>
        </w:rPr>
        <w:pict>
          <v:rect id="_x0000_i1025" style="width:204.1pt;height:.75pt" o:hrpct="0" o:hrstd="t" o:hrnoshade="t" o:hr="t" fillcolor="black" stroked="f"/>
        </w:pict>
      </w:r>
    </w:p>
    <w:p w:rsidR="007F65A2" w:rsidRPr="007F65A2" w:rsidRDefault="007F65A2" w:rsidP="007F65A2">
      <w:pPr>
        <w:shd w:val="clear" w:color="auto" w:fill="FFFFFF"/>
        <w:spacing w:line="315" w:lineRule="atLeast"/>
        <w:rPr>
          <w:rFonts w:ascii="Arial" w:eastAsia="Times New Roman" w:hAnsi="Arial" w:cs="Arial"/>
          <w:sz w:val="21"/>
          <w:szCs w:val="21"/>
          <w:lang w:eastAsia="cs-CZ"/>
        </w:rPr>
      </w:pPr>
      <w:r w:rsidRPr="007F65A2">
        <w:rPr>
          <w:rFonts w:ascii="Arial" w:eastAsia="Times New Roman" w:hAnsi="Arial" w:cs="Arial"/>
          <w:sz w:val="21"/>
          <w:szCs w:val="21"/>
          <w:lang w:eastAsia="cs-CZ"/>
        </w:rPr>
        <w:br/>
      </w:r>
      <w:bookmarkStart w:id="5" w:name="_ftn1"/>
      <w:r w:rsidRPr="007F65A2">
        <w:rPr>
          <w:rFonts w:ascii="Arial" w:eastAsia="Times New Roman" w:hAnsi="Arial" w:cs="Arial"/>
          <w:sz w:val="21"/>
          <w:szCs w:val="21"/>
          <w:u w:val="single"/>
          <w:lang w:eastAsia="cs-CZ"/>
        </w:rPr>
        <w:t>1)</w:t>
      </w:r>
      <w:bookmarkEnd w:id="5"/>
      <w:r w:rsidRPr="007F65A2">
        <w:rPr>
          <w:rFonts w:ascii="Arial" w:eastAsia="Times New Roman" w:hAnsi="Arial" w:cs="Arial"/>
          <w:sz w:val="21"/>
          <w:szCs w:val="21"/>
          <w:lang w:eastAsia="cs-CZ"/>
        </w:rPr>
        <w:t> zákon č. 526/1990 Sb., o cenách, ve znění pozdějších předpisů</w:t>
      </w:r>
      <w:r w:rsidRPr="007F65A2">
        <w:rPr>
          <w:rFonts w:ascii="Arial" w:eastAsia="Times New Roman" w:hAnsi="Arial" w:cs="Arial"/>
          <w:sz w:val="21"/>
          <w:szCs w:val="21"/>
          <w:lang w:eastAsia="cs-CZ"/>
        </w:rPr>
        <w:br/>
      </w:r>
      <w:bookmarkStart w:id="6" w:name="_ftn2"/>
      <w:r w:rsidRPr="007F65A2">
        <w:rPr>
          <w:rFonts w:ascii="Arial" w:eastAsia="Times New Roman" w:hAnsi="Arial" w:cs="Arial"/>
          <w:sz w:val="21"/>
          <w:szCs w:val="21"/>
          <w:u w:val="single"/>
          <w:lang w:eastAsia="cs-CZ"/>
        </w:rPr>
        <w:t>2)</w:t>
      </w:r>
      <w:bookmarkEnd w:id="6"/>
      <w:r w:rsidRPr="007F65A2">
        <w:rPr>
          <w:rFonts w:ascii="Arial" w:eastAsia="Times New Roman" w:hAnsi="Arial" w:cs="Arial"/>
          <w:sz w:val="21"/>
          <w:szCs w:val="21"/>
          <w:lang w:eastAsia="cs-CZ"/>
        </w:rPr>
        <w:t> zákon č. 361/2000 Sb., o provozu na pozemních komunikacích a o změnách některých zákonů, ve znění pozdějších předpisů</w:t>
      </w:r>
      <w:r w:rsidRPr="007F65A2">
        <w:rPr>
          <w:rFonts w:ascii="Arial" w:eastAsia="Times New Roman" w:hAnsi="Arial" w:cs="Arial"/>
          <w:sz w:val="21"/>
          <w:szCs w:val="21"/>
          <w:lang w:eastAsia="cs-CZ"/>
        </w:rPr>
        <w:br/>
      </w:r>
      <w:bookmarkStart w:id="7" w:name="_ftn3"/>
      <w:r w:rsidRPr="007F65A2">
        <w:rPr>
          <w:rFonts w:ascii="Arial" w:eastAsia="Times New Roman" w:hAnsi="Arial" w:cs="Arial"/>
          <w:sz w:val="21"/>
          <w:szCs w:val="21"/>
          <w:u w:val="single"/>
          <w:lang w:eastAsia="cs-CZ"/>
        </w:rPr>
        <w:t>3)</w:t>
      </w:r>
      <w:bookmarkEnd w:id="7"/>
      <w:r w:rsidRPr="007F65A2">
        <w:rPr>
          <w:rFonts w:ascii="Arial" w:eastAsia="Times New Roman" w:hAnsi="Arial" w:cs="Arial"/>
          <w:sz w:val="21"/>
          <w:szCs w:val="21"/>
          <w:lang w:eastAsia="cs-CZ"/>
        </w:rPr>
        <w:t> zákon č. 12/1997 Sb., o bezpečnosti a plynulosti provozu na pozemních komunikacích, ve znění pozdějších předpisů</w:t>
      </w:r>
      <w:r w:rsidRPr="007F65A2">
        <w:rPr>
          <w:rFonts w:ascii="Arial" w:eastAsia="Times New Roman" w:hAnsi="Arial" w:cs="Arial"/>
          <w:sz w:val="21"/>
          <w:szCs w:val="21"/>
          <w:lang w:eastAsia="cs-CZ"/>
        </w:rPr>
        <w:br/>
      </w:r>
      <w:bookmarkStart w:id="8" w:name="_ftn4"/>
      <w:r w:rsidRPr="007F65A2">
        <w:rPr>
          <w:rFonts w:ascii="Arial" w:eastAsia="Times New Roman" w:hAnsi="Arial" w:cs="Arial"/>
          <w:sz w:val="21"/>
          <w:szCs w:val="21"/>
          <w:u w:val="single"/>
          <w:lang w:eastAsia="cs-CZ"/>
        </w:rPr>
        <w:t>4)</w:t>
      </w:r>
      <w:bookmarkEnd w:id="8"/>
      <w:r w:rsidRPr="007F65A2">
        <w:rPr>
          <w:rFonts w:ascii="Arial" w:eastAsia="Times New Roman" w:hAnsi="Arial" w:cs="Arial"/>
          <w:sz w:val="21"/>
          <w:szCs w:val="21"/>
          <w:lang w:eastAsia="cs-CZ"/>
        </w:rPr>
        <w:t> § 58 zákona č. 128/2000 Sb., o obcích (obecní zřízení), ve znění pozdějších předpisů</w:t>
      </w:r>
    </w:p>
    <w:p w:rsidR="00F73D72" w:rsidRPr="007F65A2" w:rsidRDefault="00F73D72"/>
    <w:sectPr w:rsidR="00F73D72" w:rsidRPr="007F6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27F"/>
    <w:rsid w:val="00156E7A"/>
    <w:rsid w:val="002A027F"/>
    <w:rsid w:val="002C3844"/>
    <w:rsid w:val="00370C83"/>
    <w:rsid w:val="003A2279"/>
    <w:rsid w:val="004232CA"/>
    <w:rsid w:val="006E4244"/>
    <w:rsid w:val="007F65A2"/>
    <w:rsid w:val="0086698C"/>
    <w:rsid w:val="00890381"/>
    <w:rsid w:val="008C2A45"/>
    <w:rsid w:val="00A83296"/>
    <w:rsid w:val="00BE285E"/>
    <w:rsid w:val="00CD6158"/>
    <w:rsid w:val="00F7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728B0-48E1-4856-9CAA-2077B496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7F65A2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7F65A2"/>
    <w:rPr>
      <w:rFonts w:eastAsia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F65A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F65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459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 Radek</dc:creator>
  <cp:keywords/>
  <dc:description/>
  <cp:lastModifiedBy>Repa Radek</cp:lastModifiedBy>
  <cp:revision>2</cp:revision>
  <dcterms:created xsi:type="dcterms:W3CDTF">2022-04-27T10:54:00Z</dcterms:created>
  <dcterms:modified xsi:type="dcterms:W3CDTF">2022-04-27T10:56:00Z</dcterms:modified>
</cp:coreProperties>
</file>