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D" w:rsidRPr="00280F3D" w:rsidRDefault="00280F3D" w:rsidP="00280F3D">
      <w:pPr>
        <w:spacing w:before="300" w:after="150" w:line="240" w:lineRule="auto"/>
        <w:outlineLvl w:val="1"/>
        <w:rPr>
          <w:rFonts w:ascii="TekoWeb" w:eastAsia="Times New Roman" w:hAnsi="TekoWeb" w:cs="Arial"/>
          <w:caps/>
          <w:color w:val="33444E"/>
          <w:sz w:val="36"/>
          <w:szCs w:val="36"/>
          <w:lang w:eastAsia="cs-CZ"/>
        </w:rPr>
      </w:pPr>
      <w:r w:rsidRPr="00280F3D">
        <w:rPr>
          <w:rFonts w:ascii="TekoWeb" w:eastAsia="Times New Roman" w:hAnsi="TekoWeb" w:cs="Arial"/>
          <w:caps/>
          <w:color w:val="33444E"/>
          <w:sz w:val="36"/>
          <w:szCs w:val="36"/>
          <w:lang w:eastAsia="cs-CZ"/>
        </w:rPr>
        <w:t>NAŘÍZENÍ MĚSTA Č. 3 O OCHRANĚ HNÍZDNÍ POPULACE RORÝSE OBECNÉHO PŘI REKONSTRUKCÍCH BUDOV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80F3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NAŘÍZENÍ</w:t>
      </w:r>
    </w:p>
    <w:p w:rsidR="00280F3D" w:rsidRPr="00280F3D" w:rsidRDefault="00280F3D" w:rsidP="00280F3D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80F3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města Neratovice č. 3,</w:t>
      </w:r>
      <w:bookmarkStart w:id="0" w:name="_GoBack"/>
      <w:bookmarkEnd w:id="0"/>
    </w:p>
    <w:p w:rsidR="00280F3D" w:rsidRPr="00280F3D" w:rsidRDefault="00280F3D" w:rsidP="00280F3D">
      <w:pPr>
        <w:spacing w:before="120" w:after="0" w:line="31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80F3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ze dne 16. prosince  2009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o ochraně hnízdní populace rorýse obecného při rekonstrukcích budov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Rada města Neratovice, se na svém zasedání  dne 16. 12. 2009 usnesla,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vydat</w:t>
      </w: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 xml:space="preserve"> na základě § 5 odst. 1 a podle § 77 odst. 1 zákona č. 114/1992 </w:t>
      </w:r>
      <w:proofErr w:type="spellStart"/>
      <w:proofErr w:type="gramStart"/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Sb.,o</w:t>
      </w:r>
      <w:proofErr w:type="spellEnd"/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 xml:space="preserve"> ochraně</w:t>
      </w:r>
      <w:proofErr w:type="gramEnd"/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 xml:space="preserve"> přírody a krajiny, ve znění pozdějších předpisů (dále „ZOPK“),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a v souladu s § 11 a § 102 odst. 2 písm. d) zákona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č. 128/2000 Sb., o obcích (obecní zřízení), ve znění pozdějších předpisů, toto nařízení: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Čl. 1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Základní ustanovení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(1) Účelem tohoto nařízení je </w:t>
      </w: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cs-CZ"/>
        </w:rPr>
        <w:t>zajistit adekvátní ochranu</w:t>
      </w: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 hnízdní populace </w:t>
      </w: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cs-CZ"/>
        </w:rPr>
        <w:t>zvláště chráněného druhu živočicha – rorýse obecného</w:t>
      </w: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 při rekonstrukcích budov ve správním obvodu obce s rozšířenou působností Neratovice.  Nařízení upravuje práva a povinnosti při provádění rekonstrukcí budov se zachovalými ventilačními průduchy v podstřeší nebo ve střešních konstrukcích budov, které bývají často uzavírány a rorýsům obecným je tak znemožněno úspěšné hnízdění na jejich tradičních hnízdištích. Rekonstrukce budov lze tedy považovat za soubor činností, které vedou nebo by mohly vést k ohrožení tohoto druhu na bytí nebo k jeho degeneraci, narušení rozmnožovacích schopností druhu či zániku populace druhu ve smyslu § 5 odst. 1 ZOPK.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(2) Pro účely tohoto nařízení se rozumí: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a) </w:t>
      </w: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rekonstrukcí budovy </w:t>
      </w: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celkové opravy a úpravy budovy, např. zateplování, nová omítka, nebo dílčí opravy a úpravy budovy spojené s uzavíráním ventilačních průduchů a navazujících dutin v podstřeší nebo ve střešních konstrukcích;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lastRenderedPageBreak/>
        <w:t>b) </w:t>
      </w: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atikou </w:t>
      </w: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část budovy v úrovni střešní konstrukce, ve které jsou umístěny ventilační průduchy – prostor mezi horní hranou oken v posledním nadzemním podlaží budovy a pláštěm střechy/svrchním okrajem budovy.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Čl. 2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Působnost nařízení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(1) Nařízení ze vztahuje pouze na rekonstrukce budov ze zachovalými ventilačními průduchy v atikách, zejména obytných panelových a cihlových domů, ale i budov sloužících k jiným účelům (dále jen „budovy“). Nařízení se nevztahuje na rekonstrukce rodinných domů.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Čl. 3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Postup fyzických a právnických osob při rekonstrukcích budov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(1) Rekonstrukce budov mohou být realizovány pouze při dodržení těchto podmínek: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a) všechny ventilační průduchy v atikách budov zůstanou zachovány a v plném rozsahu zůstane zachován i průchod do navazujících odvětrávaných prostor (dutin). Rozměr ventilačních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průduchů musí být zachován nebo, je-li upravován, pak musí mít průduchy rozměry nejméně 4 cm na výšku a 7 cm na šířku;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 xml:space="preserve">b) bude zajištěna potřebná úprava ventilačních průduchů. Spodní okraj každého průduchu a následný průchod do navazujících odvětrávaných prostor (dutin) musí být dostatečně drsný z důvodu umožnění zachycení a prostupnosti pro jedince rorýse obecného. Zdrsnění je v případě použití materiálů s hladkým povrchem možné provést s pomocí ocelového kartáče či vrtačky s nástavcem – ocelovým kartáčkem, anebo provést potěr spodní části průduchu tenkou vrstvou stavebního lepidla, jež vytvoří pevný nelepivý povrch s potřebnou strukturou. Vrstva lepidla nesmí výrazně ovlivnit světlost otvorů – </w:t>
      </w:r>
      <w:proofErr w:type="gramStart"/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viz. udané</w:t>
      </w:r>
      <w:proofErr w:type="gramEnd"/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 xml:space="preserve"> minimální rozměry v čl. 3 odst. 1 písm. a);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c) v případě instalace plastových ochranných mřížek budou odstraněny lamely ve spodní části každé mřížky tak, aby byl zachován minimální potřebný rozměr otvoru uvedený v čl. 3 odst. 1 písm. a);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d) v případě nutnosti úplného uzavření ventilačních průduchů bude na stejné budově zajištěno vytvoření náhradních hnízdních příležitostí (instalace prefabrikátů či speciálních budek pro rorýsy obecné v rozsahu/počtu odpovídajícím uzavřeným ventilačním průduchům, umístěných co nejblíže k uzavřeným ventilačním průduchům a se shodnou nebo obdobnou stranovou orientací).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Čl. 4</w:t>
      </w:r>
    </w:p>
    <w:p w:rsidR="00280F3D" w:rsidRPr="00280F3D" w:rsidRDefault="00280F3D" w:rsidP="00280F3D">
      <w:pPr>
        <w:spacing w:before="120" w:after="0" w:line="3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Účinnost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lastRenderedPageBreak/>
        <w:t>Toto nařízení nabývá platnosti dnem v den jeho podpisu, účinnosti pak 15. dnem po jeho vyhlášení.</w:t>
      </w:r>
    </w:p>
    <w:p w:rsidR="00280F3D" w:rsidRPr="00280F3D" w:rsidRDefault="00280F3D" w:rsidP="00280F3D">
      <w:pPr>
        <w:spacing w:before="120" w:after="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Dr. Miroslav Lid                                                                             Mgr. František Morava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cs-CZ"/>
        </w:rPr>
        <w:t> starosta města                                                                                    místostarosta města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after="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 </w:t>
      </w:r>
    </w:p>
    <w:p w:rsidR="00280F3D" w:rsidRPr="00280F3D" w:rsidRDefault="00280F3D" w:rsidP="00280F3D">
      <w:pPr>
        <w:spacing w:before="120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0F3D">
        <w:rPr>
          <w:rFonts w:ascii="Times New Roman" w:eastAsia="Times New Roman" w:hAnsi="Times New Roman" w:cs="Times New Roman"/>
          <w:color w:val="231F20"/>
          <w:sz w:val="24"/>
          <w:szCs w:val="24"/>
          <w:lang w:eastAsia="cs-CZ"/>
        </w:rPr>
        <w:t>Vyvěšeno na úřední desce dne:                      Sejmuto z úřední desky dne: 28.12.2009                                                      14.1.2010</w:t>
      </w:r>
    </w:p>
    <w:p w:rsidR="002C4A5D" w:rsidRDefault="00280F3D"/>
    <w:sectPr w:rsidR="002C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o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3D"/>
    <w:rsid w:val="00261321"/>
    <w:rsid w:val="00280F3D"/>
    <w:rsid w:val="009979C9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924E-83D2-437A-9512-E8098A5F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80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80F3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vyhlka1">
    <w:name w:val="nadpisvyhlka1"/>
    <w:basedOn w:val="Normln"/>
    <w:rsid w:val="0028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ec">
    <w:name w:val="nadpisodstavec"/>
    <w:basedOn w:val="Normln"/>
    <w:rsid w:val="0028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Feistova Elena</dc:creator>
  <cp:keywords/>
  <dc:description/>
  <cp:lastModifiedBy>Feistova Elena</cp:lastModifiedBy>
  <cp:revision>1</cp:revision>
  <dcterms:created xsi:type="dcterms:W3CDTF">2023-07-18T07:58:00Z</dcterms:created>
  <dcterms:modified xsi:type="dcterms:W3CDTF">2023-07-18T08:00:00Z</dcterms:modified>
</cp:coreProperties>
</file>