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0990D03" w:rsidR="00455210" w:rsidRPr="00FD7DB7" w:rsidRDefault="00CF2E6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F2E68">
              <w:rPr>
                <w:rFonts w:ascii="Times New Roman" w:hAnsi="Times New Roman"/>
              </w:rPr>
              <w:t>SZ UKZUZ 138064/2023/40456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FA952CA" w:rsidR="00455210" w:rsidRPr="00FD7DB7" w:rsidRDefault="006355A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355A3">
              <w:rPr>
                <w:rFonts w:ascii="Times New Roman" w:hAnsi="Times New Roman"/>
              </w:rPr>
              <w:t>UKZUZ 005684/2024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2CCE4BC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171699">
              <w:rPr>
                <w:rFonts w:ascii="Times New Roman" w:hAnsi="Times New Roman"/>
              </w:rPr>
              <w:t>lalstop</w:t>
            </w:r>
            <w:proofErr w:type="spellEnd"/>
            <w:r w:rsidR="00171699">
              <w:rPr>
                <w:rFonts w:ascii="Times New Roman" w:hAnsi="Times New Roman"/>
              </w:rPr>
              <w:t xml:space="preserve"> </w:t>
            </w:r>
            <w:r w:rsidR="00CF2E68">
              <w:rPr>
                <w:rFonts w:ascii="Times New Roman" w:hAnsi="Times New Roman"/>
              </w:rPr>
              <w:t>g46</w:t>
            </w:r>
            <w:r w:rsidR="00171699">
              <w:rPr>
                <w:rFonts w:ascii="Times New Roman" w:hAnsi="Times New Roman"/>
              </w:rPr>
              <w:t xml:space="preserve"> </w:t>
            </w:r>
            <w:proofErr w:type="spellStart"/>
            <w:r w:rsidR="00171699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6355A3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355A3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DFA08AE" w:rsidR="00455210" w:rsidRPr="006355A3" w:rsidRDefault="006355A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355A3">
              <w:rPr>
                <w:rFonts w:ascii="Times New Roman" w:hAnsi="Times New Roman"/>
              </w:rPr>
              <w:t>10</w:t>
            </w:r>
            <w:r w:rsidR="00DA0D86" w:rsidRPr="006355A3">
              <w:rPr>
                <w:rFonts w:ascii="Times New Roman" w:hAnsi="Times New Roman"/>
              </w:rPr>
              <w:t xml:space="preserve">. </w:t>
            </w:r>
            <w:r w:rsidR="00CF2E68" w:rsidRPr="006355A3">
              <w:rPr>
                <w:rFonts w:ascii="Times New Roman" w:hAnsi="Times New Roman"/>
              </w:rPr>
              <w:t>ledna</w:t>
            </w:r>
            <w:r w:rsidR="00DA0D86" w:rsidRPr="006355A3">
              <w:rPr>
                <w:rFonts w:ascii="Times New Roman" w:hAnsi="Times New Roman"/>
              </w:rPr>
              <w:t xml:space="preserve"> 202</w:t>
            </w:r>
            <w:r w:rsidR="00CF2E68" w:rsidRPr="006355A3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555C6C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171699">
        <w:rPr>
          <w:rFonts w:ascii="Times New Roman" w:hAnsi="Times New Roman"/>
          <w:b/>
          <w:sz w:val="28"/>
          <w:szCs w:val="28"/>
        </w:rPr>
        <w:t>Lalstop</w:t>
      </w:r>
      <w:proofErr w:type="spellEnd"/>
      <w:r w:rsidR="00171699">
        <w:rPr>
          <w:rFonts w:ascii="Times New Roman" w:hAnsi="Times New Roman"/>
          <w:b/>
          <w:sz w:val="28"/>
          <w:szCs w:val="28"/>
        </w:rPr>
        <w:t xml:space="preserve"> </w:t>
      </w:r>
      <w:r w:rsidR="00CF2E68">
        <w:rPr>
          <w:rFonts w:ascii="Times New Roman" w:hAnsi="Times New Roman"/>
          <w:b/>
          <w:sz w:val="28"/>
          <w:szCs w:val="28"/>
        </w:rPr>
        <w:t>G46</w:t>
      </w:r>
      <w:r w:rsidR="00171699">
        <w:rPr>
          <w:rFonts w:ascii="Times New Roman" w:hAnsi="Times New Roman"/>
          <w:b/>
          <w:sz w:val="28"/>
          <w:szCs w:val="28"/>
        </w:rPr>
        <w:t xml:space="preserve"> WG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CF2E68">
        <w:rPr>
          <w:rFonts w:ascii="Times New Roman" w:hAnsi="Times New Roman"/>
          <w:b/>
          <w:sz w:val="28"/>
          <w:szCs w:val="28"/>
        </w:rPr>
        <w:t>6064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CF2E68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963BD13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p w14:paraId="42596003" w14:textId="77777777" w:rsidR="00656362" w:rsidRDefault="00656362" w:rsidP="00656362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1006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842"/>
        <w:gridCol w:w="580"/>
        <w:gridCol w:w="1829"/>
        <w:gridCol w:w="2269"/>
      </w:tblGrid>
      <w:tr w:rsidR="00CF2E68" w:rsidRPr="00CF2E68" w14:paraId="44F4DEFB" w14:textId="77777777" w:rsidTr="00656362">
        <w:tc>
          <w:tcPr>
            <w:tcW w:w="1702" w:type="dxa"/>
          </w:tcPr>
          <w:p w14:paraId="17DEA0E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52CF874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842" w:type="dxa"/>
          </w:tcPr>
          <w:p w14:paraId="7E855B9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80" w:type="dxa"/>
          </w:tcPr>
          <w:p w14:paraId="38E0C924" w14:textId="2921137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29" w:type="dxa"/>
          </w:tcPr>
          <w:p w14:paraId="5D17EE3F" w14:textId="65EFBAD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A1BD5D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8E80CC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193ED61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9" w:type="dxa"/>
          </w:tcPr>
          <w:p w14:paraId="1AA7A86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CF4BA9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3A7ACD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129DA5F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F2E68" w:rsidRPr="00CF2E68" w14:paraId="63B06EBE" w14:textId="77777777" w:rsidTr="00656362">
        <w:tc>
          <w:tcPr>
            <w:tcW w:w="1702" w:type="dxa"/>
          </w:tcPr>
          <w:p w14:paraId="011B0C6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05B71D9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5CF5F0D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374C7E0C" w14:textId="28A9138E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225FB33" w14:textId="271D10D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výsadbě </w:t>
            </w:r>
          </w:p>
        </w:tc>
        <w:tc>
          <w:tcPr>
            <w:tcW w:w="2269" w:type="dxa"/>
          </w:tcPr>
          <w:p w14:paraId="6622B4DB" w14:textId="0CB2005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máčení rostlin </w:t>
            </w:r>
          </w:p>
          <w:p w14:paraId="5C8133E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102DB6C1" w14:textId="77777777" w:rsidTr="00656362">
        <w:tc>
          <w:tcPr>
            <w:tcW w:w="1702" w:type="dxa"/>
          </w:tcPr>
          <w:p w14:paraId="029562B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37F8CB5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5E315F2C" w14:textId="77777777" w:rsid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60037CDF" w14:textId="5FE48E3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25 l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019B7827" w14:textId="79600400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0DA6CBA" w14:textId="211C23F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výsadbou </w:t>
            </w:r>
          </w:p>
        </w:tc>
        <w:tc>
          <w:tcPr>
            <w:tcW w:w="2269" w:type="dxa"/>
          </w:tcPr>
          <w:p w14:paraId="5689DCC2" w14:textId="23C5000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půdní postřik, zálivka </w:t>
            </w:r>
          </w:p>
          <w:p w14:paraId="01E6D95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CEE0171" w14:textId="77777777" w:rsidTr="00656362">
        <w:tc>
          <w:tcPr>
            <w:tcW w:w="1702" w:type="dxa"/>
          </w:tcPr>
          <w:p w14:paraId="44C8C82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1842" w:type="dxa"/>
          </w:tcPr>
          <w:p w14:paraId="65B3804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581501BE" w14:textId="77777777" w:rsidR="00656362" w:rsidRDefault="00CF2E68" w:rsidP="00656362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20-25 g  </w:t>
            </w:r>
          </w:p>
          <w:p w14:paraId="69251092" w14:textId="41A186BB" w:rsidR="00CF2E68" w:rsidRPr="00CF2E68" w:rsidRDefault="00CF2E68" w:rsidP="00656362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40-50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43C5C745" w14:textId="738676E6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4DF9A541" w14:textId="4F9C40A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</w:tc>
        <w:tc>
          <w:tcPr>
            <w:tcW w:w="2269" w:type="dxa"/>
          </w:tcPr>
          <w:p w14:paraId="7D457DE2" w14:textId="579EB2E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v intervalu 28 dnů, zálivka nebo kapková závlaha </w:t>
            </w:r>
          </w:p>
          <w:p w14:paraId="6DFB4E0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9F95528" w14:textId="77777777" w:rsidTr="00656362">
        <w:tc>
          <w:tcPr>
            <w:tcW w:w="1702" w:type="dxa"/>
          </w:tcPr>
          <w:p w14:paraId="31BA393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maliník</w:t>
            </w:r>
          </w:p>
        </w:tc>
        <w:tc>
          <w:tcPr>
            <w:tcW w:w="1842" w:type="dxa"/>
          </w:tcPr>
          <w:p w14:paraId="50320C2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2B0858A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25-30 g  </w:t>
            </w:r>
          </w:p>
          <w:p w14:paraId="7A3EED5D" w14:textId="6CBA785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40-50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17D35ABD" w14:textId="088C3BFC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5B25070A" w14:textId="3869078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</w:tc>
        <w:tc>
          <w:tcPr>
            <w:tcW w:w="2269" w:type="dxa"/>
          </w:tcPr>
          <w:p w14:paraId="368BE705" w14:textId="37627CC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v intervalu 28 dnů, zálivka nebo kapková aplikace </w:t>
            </w:r>
          </w:p>
          <w:p w14:paraId="302A833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CEF90A0" w14:textId="77777777" w:rsidTr="00656362">
        <w:tc>
          <w:tcPr>
            <w:tcW w:w="1702" w:type="dxa"/>
          </w:tcPr>
          <w:p w14:paraId="1D44E0D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maliník</w:t>
            </w:r>
          </w:p>
        </w:tc>
        <w:tc>
          <w:tcPr>
            <w:tcW w:w="1842" w:type="dxa"/>
          </w:tcPr>
          <w:p w14:paraId="76731F0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397A37D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0,2-0,3 g/ha  </w:t>
            </w:r>
          </w:p>
          <w:p w14:paraId="20BD2D5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 vody/ha</w:t>
            </w:r>
          </w:p>
        </w:tc>
        <w:tc>
          <w:tcPr>
            <w:tcW w:w="580" w:type="dxa"/>
          </w:tcPr>
          <w:p w14:paraId="7723A726" w14:textId="06E5F1B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48039B8" w14:textId="3053B7F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163311A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4038E3EC" w14:textId="585A1E2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618CADA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2D49141" w14:textId="77777777" w:rsidTr="00656362">
        <w:tc>
          <w:tcPr>
            <w:tcW w:w="1702" w:type="dxa"/>
          </w:tcPr>
          <w:p w14:paraId="3D8C2E9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45E4BA1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72C4C12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20-50 g/m3  </w:t>
            </w:r>
          </w:p>
          <w:p w14:paraId="0132CE1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29FDB08C" w14:textId="3E76B1AD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519D307" w14:textId="16C54F5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výsadbou </w:t>
            </w:r>
          </w:p>
        </w:tc>
        <w:tc>
          <w:tcPr>
            <w:tcW w:w="2269" w:type="dxa"/>
          </w:tcPr>
          <w:p w14:paraId="1AC178A1" w14:textId="1444D1E2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zapravení do substrátu </w:t>
            </w:r>
          </w:p>
          <w:p w14:paraId="0B3D899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29515F8A" w14:textId="77777777" w:rsidTr="00656362">
        <w:tc>
          <w:tcPr>
            <w:tcW w:w="1702" w:type="dxa"/>
          </w:tcPr>
          <w:p w14:paraId="3FD5449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73B437A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63C7FEB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0A83DF3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0B9C2026" w14:textId="6A8B1C8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016286E" w14:textId="2A821A9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</w:tc>
        <w:tc>
          <w:tcPr>
            <w:tcW w:w="2269" w:type="dxa"/>
          </w:tcPr>
          <w:p w14:paraId="6D19BE54" w14:textId="2F3498A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půdní postřik </w:t>
            </w:r>
          </w:p>
          <w:p w14:paraId="0FA7897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1907FF24" w14:textId="77777777" w:rsidTr="00656362">
        <w:tc>
          <w:tcPr>
            <w:tcW w:w="1702" w:type="dxa"/>
          </w:tcPr>
          <w:p w14:paraId="31CB0BA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1842" w:type="dxa"/>
          </w:tcPr>
          <w:p w14:paraId="558AA2F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429AB86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44A0CC4A" w14:textId="48A79B9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40-50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6B8C5D40" w14:textId="75D24959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7CA054D" w14:textId="5C4400F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přesazení </w:t>
            </w:r>
          </w:p>
        </w:tc>
        <w:tc>
          <w:tcPr>
            <w:tcW w:w="2269" w:type="dxa"/>
          </w:tcPr>
          <w:p w14:paraId="4C3A53AF" w14:textId="0FD1186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půdní postřik </w:t>
            </w:r>
          </w:p>
          <w:p w14:paraId="74A92BF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AF3C277" w14:textId="77777777" w:rsidTr="00656362">
        <w:tc>
          <w:tcPr>
            <w:tcW w:w="1702" w:type="dxa"/>
          </w:tcPr>
          <w:p w14:paraId="62D3D74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1842" w:type="dxa"/>
          </w:tcPr>
          <w:p w14:paraId="73F6986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1842" w:type="dxa"/>
          </w:tcPr>
          <w:p w14:paraId="5641B0E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3F7EAC33" w14:textId="1F54C129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12CC079" w14:textId="37E57D8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výsadbě </w:t>
            </w:r>
          </w:p>
        </w:tc>
        <w:tc>
          <w:tcPr>
            <w:tcW w:w="2269" w:type="dxa"/>
          </w:tcPr>
          <w:p w14:paraId="1CE0B607" w14:textId="63A3250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máčení rostlin </w:t>
            </w:r>
          </w:p>
          <w:p w14:paraId="73B3FCB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3B5CA668" w14:textId="77777777" w:rsidTr="00656362">
        <w:tc>
          <w:tcPr>
            <w:tcW w:w="1702" w:type="dxa"/>
          </w:tcPr>
          <w:p w14:paraId="547826F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1842" w:type="dxa"/>
          </w:tcPr>
          <w:p w14:paraId="207BECD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1842" w:type="dxa"/>
          </w:tcPr>
          <w:p w14:paraId="4D39811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32195347" w14:textId="6108BE9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800-1000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31CB58A4" w14:textId="1183160B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09C8611" w14:textId="7A0CE18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41 BBCH, </w:t>
            </w:r>
          </w:p>
          <w:p w14:paraId="5FCFE14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45 BBCH </w:t>
            </w:r>
          </w:p>
        </w:tc>
        <w:tc>
          <w:tcPr>
            <w:tcW w:w="2269" w:type="dxa"/>
          </w:tcPr>
          <w:p w14:paraId="4502A6AE" w14:textId="04D05B0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v intervalu 21 dnů, půdní postřik, zálivka </w:t>
            </w:r>
          </w:p>
          <w:p w14:paraId="11C1300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E06BB1E" w14:textId="77777777" w:rsidTr="00656362">
        <w:tc>
          <w:tcPr>
            <w:tcW w:w="1702" w:type="dxa"/>
          </w:tcPr>
          <w:p w14:paraId="6C68B52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lesní </w:t>
            </w:r>
            <w:proofErr w:type="gram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stromy - sazenice</w:t>
            </w:r>
            <w:proofErr w:type="gramEnd"/>
          </w:p>
        </w:tc>
        <w:tc>
          <w:tcPr>
            <w:tcW w:w="1842" w:type="dxa"/>
          </w:tcPr>
          <w:p w14:paraId="07FA7D0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</w:t>
            </w:r>
          </w:p>
        </w:tc>
        <w:tc>
          <w:tcPr>
            <w:tcW w:w="1842" w:type="dxa"/>
          </w:tcPr>
          <w:p w14:paraId="2F9C142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20-50 g/m3  </w:t>
            </w:r>
          </w:p>
          <w:p w14:paraId="11BDA0A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649521C9" w14:textId="6CF156CC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2C96FB4" w14:textId="5B3406A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74CF0CFA" w14:textId="4841F5F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1x, zapravení do substrátu </w:t>
            </w:r>
          </w:p>
          <w:p w14:paraId="4631C2B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AE0113F" w14:textId="77777777" w:rsidTr="00656362">
        <w:tc>
          <w:tcPr>
            <w:tcW w:w="1702" w:type="dxa"/>
          </w:tcPr>
          <w:p w14:paraId="63455E4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lesní </w:t>
            </w:r>
            <w:proofErr w:type="gram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stromy - sazenice</w:t>
            </w:r>
            <w:proofErr w:type="gramEnd"/>
          </w:p>
        </w:tc>
        <w:tc>
          <w:tcPr>
            <w:tcW w:w="1842" w:type="dxa"/>
          </w:tcPr>
          <w:p w14:paraId="773F286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</w:t>
            </w:r>
          </w:p>
        </w:tc>
        <w:tc>
          <w:tcPr>
            <w:tcW w:w="1842" w:type="dxa"/>
          </w:tcPr>
          <w:p w14:paraId="4CFDEA5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4414977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0EB9EBD1" w14:textId="019BAFCC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503E4CE" w14:textId="75F0FB9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od:10 BBCH, </w:t>
            </w:r>
          </w:p>
          <w:p w14:paraId="616DA99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15 BBCH </w:t>
            </w:r>
          </w:p>
        </w:tc>
        <w:tc>
          <w:tcPr>
            <w:tcW w:w="2269" w:type="dxa"/>
          </w:tcPr>
          <w:p w14:paraId="47102899" w14:textId="2584C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5x v intervalu 28 dnů, zálivka, půdní postřik </w:t>
            </w:r>
          </w:p>
          <w:p w14:paraId="51F2638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04D6FA6" w14:textId="77777777" w:rsidTr="00656362">
        <w:tc>
          <w:tcPr>
            <w:tcW w:w="1702" w:type="dxa"/>
          </w:tcPr>
          <w:p w14:paraId="61027F5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lesní </w:t>
            </w:r>
            <w:proofErr w:type="gram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stromy - sazenice</w:t>
            </w:r>
            <w:proofErr w:type="gramEnd"/>
          </w:p>
        </w:tc>
        <w:tc>
          <w:tcPr>
            <w:tcW w:w="1842" w:type="dxa"/>
          </w:tcPr>
          <w:p w14:paraId="37DD1F0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38FD10C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0,3-0,5 kg/ha  </w:t>
            </w:r>
          </w:p>
          <w:p w14:paraId="5F78D6EA" w14:textId="2785167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2CBD7928" w14:textId="4CB3D6F0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9D9B330" w14:textId="38F049B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6FBC0CA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2269" w:type="dxa"/>
          </w:tcPr>
          <w:p w14:paraId="1C3E692B" w14:textId="71E4DA72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5x v intervalu 21 dnů, postřik </w:t>
            </w:r>
          </w:p>
          <w:p w14:paraId="21554BE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EC926C6" w14:textId="77777777" w:rsidTr="00656362">
        <w:tc>
          <w:tcPr>
            <w:tcW w:w="1702" w:type="dxa"/>
          </w:tcPr>
          <w:p w14:paraId="15C11CE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plodová, zelenina listová</w:t>
            </w:r>
          </w:p>
        </w:tc>
        <w:tc>
          <w:tcPr>
            <w:tcW w:w="1842" w:type="dxa"/>
          </w:tcPr>
          <w:p w14:paraId="2C7DBAF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6E7A0CF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20-50 g/m3  </w:t>
            </w:r>
          </w:p>
          <w:p w14:paraId="5B502FE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05E0556A" w14:textId="2A49870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2E4A988C" w14:textId="7548A92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7ECAEE59" w14:textId="739D4CC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1x, zapravení do substrátu</w:t>
            </w:r>
          </w:p>
          <w:p w14:paraId="4A26D51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07BEDA2C" w14:textId="77777777" w:rsidTr="00656362">
        <w:tc>
          <w:tcPr>
            <w:tcW w:w="1702" w:type="dxa"/>
          </w:tcPr>
          <w:p w14:paraId="15E150D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</w:t>
            </w:r>
          </w:p>
        </w:tc>
        <w:tc>
          <w:tcPr>
            <w:tcW w:w="1842" w:type="dxa"/>
          </w:tcPr>
          <w:p w14:paraId="7FE7634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6AD8A1D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13C48EB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58770026" w14:textId="61CD4A84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6A2E5F4" w14:textId="7F8E156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625CB0A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18F30AE9" w14:textId="7497A12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4x, v intervalu 21 dnů, zálivka nebo kapková aplikace od přesazení </w:t>
            </w:r>
          </w:p>
          <w:p w14:paraId="3EF63E3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D52B094" w14:textId="77777777" w:rsidTr="00656362">
        <w:tc>
          <w:tcPr>
            <w:tcW w:w="1702" w:type="dxa"/>
          </w:tcPr>
          <w:p w14:paraId="3FC470F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rajče, baklažán</w:t>
            </w:r>
          </w:p>
        </w:tc>
        <w:tc>
          <w:tcPr>
            <w:tcW w:w="1842" w:type="dxa"/>
          </w:tcPr>
          <w:p w14:paraId="6E2DDF2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černá hniloba rajčete</w:t>
            </w:r>
          </w:p>
        </w:tc>
        <w:tc>
          <w:tcPr>
            <w:tcW w:w="1842" w:type="dxa"/>
          </w:tcPr>
          <w:p w14:paraId="70D618C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60818D31" w14:textId="37BC1BD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06261A40" w14:textId="1BB08E49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512773A" w14:textId="08D91C4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1074D18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6C96D945" w14:textId="780DF87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721A12D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17CAA7C7" w14:textId="77777777" w:rsidTr="00656362">
        <w:tc>
          <w:tcPr>
            <w:tcW w:w="1702" w:type="dxa"/>
          </w:tcPr>
          <w:p w14:paraId="184D073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tykvovitá, baklažán</w:t>
            </w:r>
          </w:p>
        </w:tc>
        <w:tc>
          <w:tcPr>
            <w:tcW w:w="1842" w:type="dxa"/>
          </w:tcPr>
          <w:p w14:paraId="5E19AC2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19EE4DB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6627BDB1" w14:textId="4683DE1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1B4609A9" w14:textId="5F4F4250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DA51E32" w14:textId="0C1E278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6284376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054E896B" w14:textId="4B018F9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30FA924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35666BB" w14:textId="77777777" w:rsidTr="00656362">
        <w:tc>
          <w:tcPr>
            <w:tcW w:w="1702" w:type="dxa"/>
          </w:tcPr>
          <w:p w14:paraId="54934C0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31D9182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7080D8C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1A08214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7444E781" w14:textId="7EAFCEF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44F09CD8" w14:textId="7BE05E0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</w:t>
            </w:r>
          </w:p>
          <w:p w14:paraId="5DBDE95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 </w:t>
            </w:r>
          </w:p>
        </w:tc>
        <w:tc>
          <w:tcPr>
            <w:tcW w:w="2269" w:type="dxa"/>
          </w:tcPr>
          <w:p w14:paraId="59AD13B4" w14:textId="15EFAEF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5FD9D89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99537B9" w14:textId="77777777" w:rsidTr="00656362">
        <w:tc>
          <w:tcPr>
            <w:tcW w:w="1702" w:type="dxa"/>
          </w:tcPr>
          <w:p w14:paraId="64AFD9E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4947D8D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6457CE4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4563CEA9" w14:textId="39A342F4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7928ABD" w14:textId="698444E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přesazování, od: 10 BBCH, do: 15 BBCH </w:t>
            </w:r>
          </w:p>
        </w:tc>
        <w:tc>
          <w:tcPr>
            <w:tcW w:w="2269" w:type="dxa"/>
          </w:tcPr>
          <w:p w14:paraId="6BE1268F" w14:textId="2718ECC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rostlin </w:t>
            </w:r>
          </w:p>
          <w:p w14:paraId="37913B1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08CC33FD" w14:textId="77777777" w:rsidTr="00656362">
        <w:tc>
          <w:tcPr>
            <w:tcW w:w="1702" w:type="dxa"/>
          </w:tcPr>
          <w:p w14:paraId="4C87A7E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0B40E76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53FAA49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518877CA" w14:textId="4BEB146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01EC25C1" w14:textId="474C5C16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B6858CB" w14:textId="12533BD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6D2370D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9" w:type="dxa"/>
          </w:tcPr>
          <w:p w14:paraId="03AC9CC9" w14:textId="0240C2C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100772C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0DE67CF9" w14:textId="77777777" w:rsidTr="00656362">
        <w:tc>
          <w:tcPr>
            <w:tcW w:w="1702" w:type="dxa"/>
          </w:tcPr>
          <w:p w14:paraId="1CF31AA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35520C7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27B46FD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50328F2C" w14:textId="147AB8A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1A7F6F14" w14:textId="5775A2D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EAB7A8E" w14:textId="1E2B614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53895ED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580771D5" w14:textId="097DD58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30A6E68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29BB5D98" w14:textId="77777777" w:rsidTr="00656362">
        <w:tc>
          <w:tcPr>
            <w:tcW w:w="1702" w:type="dxa"/>
          </w:tcPr>
          <w:p w14:paraId="5E550B3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zelenina cibulová,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chřest, artyčok, fenykl řapíkový, celer</w:t>
            </w:r>
          </w:p>
        </w:tc>
        <w:tc>
          <w:tcPr>
            <w:tcW w:w="1842" w:type="dxa"/>
          </w:tcPr>
          <w:p w14:paraId="7F9BFDA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1E5E736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20-50 g/m3  </w:t>
            </w:r>
          </w:p>
          <w:p w14:paraId="287E86A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78559B2D" w14:textId="56F4ECB1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9003951" w14:textId="013EAC4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38A395F1" w14:textId="3B75E94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1x, zapravení do substrátu</w:t>
            </w:r>
          </w:p>
          <w:p w14:paraId="76BC1D4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5) skleníky</w:t>
            </w:r>
          </w:p>
        </w:tc>
      </w:tr>
      <w:tr w:rsidR="00CF2E68" w:rsidRPr="00CF2E68" w14:paraId="1EB6B70D" w14:textId="77777777" w:rsidTr="00656362">
        <w:tc>
          <w:tcPr>
            <w:tcW w:w="1702" w:type="dxa"/>
          </w:tcPr>
          <w:p w14:paraId="14026A5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cibulová, chřest, artyčok, fenykl řapíkový, celer</w:t>
            </w:r>
          </w:p>
        </w:tc>
        <w:tc>
          <w:tcPr>
            <w:tcW w:w="1842" w:type="dxa"/>
          </w:tcPr>
          <w:p w14:paraId="3BB7129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79518D3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48A346B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309E0933" w14:textId="65DE3DD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ADC4B6C" w14:textId="5C647D2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</w:t>
            </w:r>
          </w:p>
          <w:p w14:paraId="3046348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 </w:t>
            </w:r>
          </w:p>
        </w:tc>
        <w:tc>
          <w:tcPr>
            <w:tcW w:w="2269" w:type="dxa"/>
          </w:tcPr>
          <w:p w14:paraId="10599455" w14:textId="3583009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579C355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8CF2507" w14:textId="77777777" w:rsidTr="00656362">
        <w:tc>
          <w:tcPr>
            <w:tcW w:w="1702" w:type="dxa"/>
          </w:tcPr>
          <w:p w14:paraId="629937E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cibulová, chřest, artyčok, fenykl řapíkový, celer</w:t>
            </w:r>
          </w:p>
        </w:tc>
        <w:tc>
          <w:tcPr>
            <w:tcW w:w="1842" w:type="dxa"/>
          </w:tcPr>
          <w:p w14:paraId="2B026C0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16F699C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08CD436C" w14:textId="19F74822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D76A70A" w14:textId="16214A90" w:rsidR="00CF2E68" w:rsidRPr="00CF2E68" w:rsidRDefault="00CF2E68" w:rsidP="00563927">
            <w:pPr>
              <w:autoSpaceDE w:val="0"/>
              <w:autoSpaceDN w:val="0"/>
              <w:adjustRightInd w:val="0"/>
              <w:spacing w:before="40" w:after="0"/>
              <w:ind w:right="-7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přesazování, od: 10 BBCH, do: 15 BBCH </w:t>
            </w:r>
          </w:p>
        </w:tc>
        <w:tc>
          <w:tcPr>
            <w:tcW w:w="2269" w:type="dxa"/>
          </w:tcPr>
          <w:p w14:paraId="1BF2D725" w14:textId="7DBB113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rostlin </w:t>
            </w:r>
          </w:p>
          <w:p w14:paraId="4E3455D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3D2976E4" w14:textId="77777777" w:rsidTr="00656362">
        <w:tc>
          <w:tcPr>
            <w:tcW w:w="1702" w:type="dxa"/>
          </w:tcPr>
          <w:p w14:paraId="4DCC4F4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cibulová, chřest, artyčok, fenykl řapíkový, celer</w:t>
            </w:r>
          </w:p>
        </w:tc>
        <w:tc>
          <w:tcPr>
            <w:tcW w:w="1842" w:type="dxa"/>
          </w:tcPr>
          <w:p w14:paraId="320AAA3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5E31D6A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3903AA9E" w14:textId="430A43C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310ED30E" w14:textId="3E9710D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5CB537DA" w14:textId="163620A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2F2C98D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9" w:type="dxa"/>
          </w:tcPr>
          <w:p w14:paraId="5CF02022" w14:textId="0C90AC8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030DA2C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9CAAAD6" w14:textId="77777777" w:rsidTr="00656362">
        <w:tc>
          <w:tcPr>
            <w:tcW w:w="1702" w:type="dxa"/>
          </w:tcPr>
          <w:p w14:paraId="7AC2EC2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chřest, artyčok, fenykl řapíkový, celer</w:t>
            </w:r>
          </w:p>
        </w:tc>
        <w:tc>
          <w:tcPr>
            <w:tcW w:w="1842" w:type="dxa"/>
          </w:tcPr>
          <w:p w14:paraId="22EBB26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1842" w:type="dxa"/>
          </w:tcPr>
          <w:p w14:paraId="4726C48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08B8E482" w14:textId="446D4BA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54F0720" w14:textId="358F4BD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při výsadbě </w:t>
            </w:r>
          </w:p>
        </w:tc>
        <w:tc>
          <w:tcPr>
            <w:tcW w:w="2269" w:type="dxa"/>
          </w:tcPr>
          <w:p w14:paraId="33D12F6B" w14:textId="25374B0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</w:t>
            </w:r>
          </w:p>
          <w:p w14:paraId="7B14D8B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14917D1D" w14:textId="77777777" w:rsidTr="00656362">
        <w:tc>
          <w:tcPr>
            <w:tcW w:w="1702" w:type="dxa"/>
          </w:tcPr>
          <w:p w14:paraId="1F08C32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chřest, artyčok, fenykl řapíkový, celer</w:t>
            </w:r>
          </w:p>
        </w:tc>
        <w:tc>
          <w:tcPr>
            <w:tcW w:w="1842" w:type="dxa"/>
          </w:tcPr>
          <w:p w14:paraId="2E33D98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plíseň šedá</w:t>
            </w:r>
          </w:p>
        </w:tc>
        <w:tc>
          <w:tcPr>
            <w:tcW w:w="1842" w:type="dxa"/>
          </w:tcPr>
          <w:p w14:paraId="162DF86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7C9E41E7" w14:textId="7BD6AE6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34450CE1" w14:textId="2FFB9604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5E53429D" w14:textId="555D07D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3B2F591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22791827" w14:textId="5546F84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1AA0596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DB77C4A" w14:textId="77777777" w:rsidTr="00656362">
        <w:tc>
          <w:tcPr>
            <w:tcW w:w="1702" w:type="dxa"/>
          </w:tcPr>
          <w:p w14:paraId="2C796EB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842" w:type="dxa"/>
          </w:tcPr>
          <w:p w14:paraId="499950A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</w:t>
            </w:r>
          </w:p>
        </w:tc>
        <w:tc>
          <w:tcPr>
            <w:tcW w:w="1842" w:type="dxa"/>
          </w:tcPr>
          <w:p w14:paraId="19B6E46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18658BA1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5C137F08" w14:textId="61B6DD36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AAA6028" w14:textId="6D01A3C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</w:t>
            </w:r>
          </w:p>
          <w:p w14:paraId="453788A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 </w:t>
            </w:r>
          </w:p>
        </w:tc>
        <w:tc>
          <w:tcPr>
            <w:tcW w:w="2269" w:type="dxa"/>
          </w:tcPr>
          <w:p w14:paraId="7E81D890" w14:textId="1EB0A63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565DF61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2D3EF582" w14:textId="77777777" w:rsidTr="00656362">
        <w:tc>
          <w:tcPr>
            <w:tcW w:w="1702" w:type="dxa"/>
          </w:tcPr>
          <w:p w14:paraId="3328273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842" w:type="dxa"/>
          </w:tcPr>
          <w:p w14:paraId="2674EDB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</w:t>
            </w:r>
          </w:p>
        </w:tc>
        <w:tc>
          <w:tcPr>
            <w:tcW w:w="1842" w:type="dxa"/>
          </w:tcPr>
          <w:p w14:paraId="6ECFD6D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367329F7" w14:textId="75ECF34A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78CC8526" w14:textId="3F513E94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B1DB36E" w14:textId="72F60F9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3D7986D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9" w:type="dxa"/>
          </w:tcPr>
          <w:p w14:paraId="7A368D97" w14:textId="79E5A30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zálivka nebo kapková aplikace </w:t>
            </w:r>
          </w:p>
          <w:p w14:paraId="19E2CF7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32028B13" w14:textId="77777777" w:rsidTr="00656362">
        <w:tc>
          <w:tcPr>
            <w:tcW w:w="1702" w:type="dxa"/>
          </w:tcPr>
          <w:p w14:paraId="635D42C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842" w:type="dxa"/>
          </w:tcPr>
          <w:p w14:paraId="0BD8DD1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19A65F5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1EA3ADD3" w14:textId="1E3E4A4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451B22BD" w14:textId="2ADA8510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085033C0" w14:textId="64C11A8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15 BBCH,</w:t>
            </w:r>
          </w:p>
          <w:p w14:paraId="07DDF3C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68DE5835" w14:textId="79AC714C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34EAE29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9394F11" w14:textId="77777777" w:rsidTr="00656362">
        <w:tc>
          <w:tcPr>
            <w:tcW w:w="1702" w:type="dxa"/>
          </w:tcPr>
          <w:p w14:paraId="269E2CC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2" w:type="dxa"/>
          </w:tcPr>
          <w:p w14:paraId="1D29603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hniloba, fuzariózy</w:t>
            </w:r>
          </w:p>
        </w:tc>
        <w:tc>
          <w:tcPr>
            <w:tcW w:w="1842" w:type="dxa"/>
          </w:tcPr>
          <w:p w14:paraId="575D944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20-50 g/m3  </w:t>
            </w:r>
          </w:p>
          <w:p w14:paraId="3C0DF6EE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3CAE9D90" w14:textId="1C2F93BA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EC6D675" w14:textId="5F228A1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2D1E4A14" w14:textId="67837980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1x, zapravení do substrátu</w:t>
            </w:r>
          </w:p>
          <w:p w14:paraId="7E0CB99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A3C9BA8" w14:textId="77777777" w:rsidTr="00656362">
        <w:tc>
          <w:tcPr>
            <w:tcW w:w="1702" w:type="dxa"/>
          </w:tcPr>
          <w:p w14:paraId="369B1E6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2" w:type="dxa"/>
          </w:tcPr>
          <w:p w14:paraId="77EA76C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</w:t>
            </w:r>
          </w:p>
        </w:tc>
        <w:tc>
          <w:tcPr>
            <w:tcW w:w="1842" w:type="dxa"/>
          </w:tcPr>
          <w:p w14:paraId="78DCED2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4E82675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100-200 l vody /100 m2</w:t>
            </w:r>
          </w:p>
        </w:tc>
        <w:tc>
          <w:tcPr>
            <w:tcW w:w="580" w:type="dxa"/>
          </w:tcPr>
          <w:p w14:paraId="439A93F9" w14:textId="68430309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7BC3C979" w14:textId="4B17D21E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</w:t>
            </w:r>
          </w:p>
          <w:p w14:paraId="211528B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12 BBCH </w:t>
            </w:r>
          </w:p>
        </w:tc>
        <w:tc>
          <w:tcPr>
            <w:tcW w:w="2269" w:type="dxa"/>
          </w:tcPr>
          <w:p w14:paraId="43C87EDA" w14:textId="39D91E4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3x v intervalu 21 dnů, zálivka nebo kapková aplikace </w:t>
            </w:r>
          </w:p>
          <w:p w14:paraId="7DB740C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695D0C97" w14:textId="77777777" w:rsidTr="00656362">
        <w:tc>
          <w:tcPr>
            <w:tcW w:w="1702" w:type="dxa"/>
          </w:tcPr>
          <w:p w14:paraId="022C710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2" w:type="dxa"/>
          </w:tcPr>
          <w:p w14:paraId="7DF7AEF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fuzariózy</w:t>
            </w:r>
          </w:p>
        </w:tc>
        <w:tc>
          <w:tcPr>
            <w:tcW w:w="1842" w:type="dxa"/>
          </w:tcPr>
          <w:p w14:paraId="21FF384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571E0B53" w14:textId="56B565E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4BE55FA3" w14:textId="6DD86082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6A556B4" w14:textId="6BE4B338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7FFC1246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9" w:type="dxa"/>
          </w:tcPr>
          <w:p w14:paraId="0456144D" w14:textId="596C8B5F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zálivka nebo kapková aplikace </w:t>
            </w:r>
          </w:p>
          <w:p w14:paraId="75556DA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BA38DFA" w14:textId="77777777" w:rsidTr="00656362">
        <w:tc>
          <w:tcPr>
            <w:tcW w:w="1702" w:type="dxa"/>
          </w:tcPr>
          <w:p w14:paraId="31B8E42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2" w:type="dxa"/>
          </w:tcPr>
          <w:p w14:paraId="1D16A50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842" w:type="dxa"/>
          </w:tcPr>
          <w:p w14:paraId="08C6FCF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kg/ha  </w:t>
            </w:r>
          </w:p>
          <w:p w14:paraId="54E2E193" w14:textId="081256E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5183540E" w14:textId="20FB5F2D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EF4A271" w14:textId="3FBC61E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2A087AF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9" w:type="dxa"/>
          </w:tcPr>
          <w:p w14:paraId="2261BB6F" w14:textId="342BB113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postřik </w:t>
            </w:r>
          </w:p>
          <w:p w14:paraId="1A604E2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4B9238A" w14:textId="77777777" w:rsidTr="00656362">
        <w:tc>
          <w:tcPr>
            <w:tcW w:w="1702" w:type="dxa"/>
          </w:tcPr>
          <w:p w14:paraId="4C8A9F2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7D08E51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5949DDE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20-50 g/m3  </w:t>
            </w:r>
          </w:p>
          <w:p w14:paraId="01D3B20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10-30 l vody/m3</w:t>
            </w:r>
          </w:p>
        </w:tc>
        <w:tc>
          <w:tcPr>
            <w:tcW w:w="580" w:type="dxa"/>
          </w:tcPr>
          <w:p w14:paraId="4B5FF49A" w14:textId="667F163D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316183B8" w14:textId="3903DC5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výsevem </w:t>
            </w:r>
          </w:p>
        </w:tc>
        <w:tc>
          <w:tcPr>
            <w:tcW w:w="2269" w:type="dxa"/>
          </w:tcPr>
          <w:p w14:paraId="05070723" w14:textId="0B34FF8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1x, zapravení do substrátu</w:t>
            </w:r>
          </w:p>
          <w:p w14:paraId="79A9734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9EE1C3C" w14:textId="77777777" w:rsidTr="00656362">
        <w:tc>
          <w:tcPr>
            <w:tcW w:w="1702" w:type="dxa"/>
          </w:tcPr>
          <w:p w14:paraId="7D956BE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685A5A9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6D52E1B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80" w:type="dxa"/>
          </w:tcPr>
          <w:p w14:paraId="5E733718" w14:textId="34851AA5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1FAA41E3" w14:textId="6429BDA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61AE669F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15 BBCH, před výsadbou </w:t>
            </w:r>
          </w:p>
        </w:tc>
        <w:tc>
          <w:tcPr>
            <w:tcW w:w="2269" w:type="dxa"/>
          </w:tcPr>
          <w:p w14:paraId="7AA3D4B3" w14:textId="0B3B4E1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</w:t>
            </w:r>
          </w:p>
          <w:p w14:paraId="7A23C94A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42F6EAF" w14:textId="77777777" w:rsidTr="00656362">
        <w:tc>
          <w:tcPr>
            <w:tcW w:w="1702" w:type="dxa"/>
          </w:tcPr>
          <w:p w14:paraId="4EBE097B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6B7E8BCC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70C6025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775415AC" w14:textId="429BF664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2400-4500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80" w:type="dxa"/>
          </w:tcPr>
          <w:p w14:paraId="250716DE" w14:textId="715C08C6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6FD05A7F" w14:textId="305D1EF6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272CB37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BBCH, po přesazení </w:t>
            </w:r>
          </w:p>
        </w:tc>
        <w:tc>
          <w:tcPr>
            <w:tcW w:w="2269" w:type="dxa"/>
          </w:tcPr>
          <w:p w14:paraId="78ECF93F" w14:textId="7D2F616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zálivka nebo kapková aplikace </w:t>
            </w:r>
          </w:p>
          <w:p w14:paraId="3622E81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4044D54F" w14:textId="77777777" w:rsidTr="00656362">
        <w:tc>
          <w:tcPr>
            <w:tcW w:w="1702" w:type="dxa"/>
          </w:tcPr>
          <w:p w14:paraId="5AB61AB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172BFB7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1842" w:type="dxa"/>
          </w:tcPr>
          <w:p w14:paraId="0D5A7F9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 </w:t>
            </w:r>
          </w:p>
          <w:p w14:paraId="63DD6D4A" w14:textId="74482F72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20-50 l vody</w:t>
            </w:r>
            <w:r w:rsidR="003D59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/1000 rostlin</w:t>
            </w:r>
          </w:p>
        </w:tc>
        <w:tc>
          <w:tcPr>
            <w:tcW w:w="580" w:type="dxa"/>
          </w:tcPr>
          <w:p w14:paraId="0ADADC52" w14:textId="72C9962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29" w:type="dxa"/>
          </w:tcPr>
          <w:p w14:paraId="40B69AE1" w14:textId="7F7989CC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</w:t>
            </w:r>
          </w:p>
          <w:p w14:paraId="38609244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BBCH, po výsadbě </w:t>
            </w:r>
          </w:p>
        </w:tc>
        <w:tc>
          <w:tcPr>
            <w:tcW w:w="2269" w:type="dxa"/>
          </w:tcPr>
          <w:p w14:paraId="6BD7FD16" w14:textId="1DB7B9B5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v intervalu 21 dnů, půdní postřik </w:t>
            </w:r>
          </w:p>
          <w:p w14:paraId="581532A5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535E90BE" w14:textId="77777777" w:rsidTr="00656362">
        <w:tc>
          <w:tcPr>
            <w:tcW w:w="1702" w:type="dxa"/>
          </w:tcPr>
          <w:p w14:paraId="2BB80AB9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čekanka salátová,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endívie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širokolistá</w:t>
            </w:r>
          </w:p>
        </w:tc>
        <w:tc>
          <w:tcPr>
            <w:tcW w:w="1842" w:type="dxa"/>
          </w:tcPr>
          <w:p w14:paraId="4E80189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černá kořenová hniloba čekanky</w:t>
            </w:r>
          </w:p>
        </w:tc>
        <w:tc>
          <w:tcPr>
            <w:tcW w:w="1842" w:type="dxa"/>
          </w:tcPr>
          <w:p w14:paraId="233B902D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0,4 g/l</w:t>
            </w:r>
          </w:p>
        </w:tc>
        <w:tc>
          <w:tcPr>
            <w:tcW w:w="580" w:type="dxa"/>
          </w:tcPr>
          <w:p w14:paraId="651B9CF8" w14:textId="7579D963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29" w:type="dxa"/>
          </w:tcPr>
          <w:p w14:paraId="3F16E0D8" w14:textId="74A84D6B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sklizni, před uskladněním </w:t>
            </w:r>
          </w:p>
        </w:tc>
        <w:tc>
          <w:tcPr>
            <w:tcW w:w="2269" w:type="dxa"/>
          </w:tcPr>
          <w:p w14:paraId="6BBC97C8" w14:textId="2C5C04C9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máčení kořenů </w:t>
            </w:r>
          </w:p>
          <w:p w14:paraId="3D17C147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F2E68" w:rsidRPr="00CF2E68" w14:paraId="77F68836" w14:textId="77777777" w:rsidTr="00656362">
        <w:trPr>
          <w:trHeight w:val="57"/>
        </w:trPr>
        <w:tc>
          <w:tcPr>
            <w:tcW w:w="1702" w:type="dxa"/>
          </w:tcPr>
          <w:p w14:paraId="6DE39B98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čekanka salátová, </w:t>
            </w:r>
            <w:proofErr w:type="spellStart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endívie</w:t>
            </w:r>
            <w:proofErr w:type="spellEnd"/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širokolistá</w:t>
            </w:r>
          </w:p>
        </w:tc>
        <w:tc>
          <w:tcPr>
            <w:tcW w:w="1842" w:type="dxa"/>
          </w:tcPr>
          <w:p w14:paraId="4FD4F680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černá kořenová hniloba čekanky</w:t>
            </w:r>
          </w:p>
        </w:tc>
        <w:tc>
          <w:tcPr>
            <w:tcW w:w="1842" w:type="dxa"/>
          </w:tcPr>
          <w:p w14:paraId="38017613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0,2-0,4 g/l</w:t>
            </w:r>
          </w:p>
        </w:tc>
        <w:tc>
          <w:tcPr>
            <w:tcW w:w="580" w:type="dxa"/>
          </w:tcPr>
          <w:p w14:paraId="16FC9812" w14:textId="5E95ADB7" w:rsidR="00CF2E68" w:rsidRPr="00CF2E68" w:rsidRDefault="009C515D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29" w:type="dxa"/>
          </w:tcPr>
          <w:p w14:paraId="2B1B8E1F" w14:textId="77AEFAE1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před fází rychlení </w:t>
            </w:r>
          </w:p>
        </w:tc>
        <w:tc>
          <w:tcPr>
            <w:tcW w:w="2269" w:type="dxa"/>
          </w:tcPr>
          <w:p w14:paraId="5B27FF38" w14:textId="6130570D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postřik kořenů </w:t>
            </w:r>
          </w:p>
          <w:p w14:paraId="2876FDE2" w14:textId="77777777" w:rsidR="00CF2E68" w:rsidRPr="00CF2E68" w:rsidRDefault="00CF2E68" w:rsidP="00CF2E6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F2E6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</w:tbl>
    <w:p w14:paraId="45F5196C" w14:textId="66DD1C20" w:rsidR="00CF2E68" w:rsidRDefault="00CF2E68" w:rsidP="00CF2E68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BE8428D" w14:textId="77777777" w:rsidR="009C515D" w:rsidRDefault="009C515D" w:rsidP="009C515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784E0505" w14:textId="77777777" w:rsidR="009C515D" w:rsidRDefault="009C515D" w:rsidP="009C515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395C1606" w14:textId="2D334EE4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1"/>
        <w:tblW w:w="992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269"/>
        <w:gridCol w:w="2013"/>
        <w:gridCol w:w="2665"/>
        <w:gridCol w:w="1417"/>
        <w:gridCol w:w="1559"/>
      </w:tblGrid>
      <w:tr w:rsidR="00656362" w:rsidRPr="00563927" w14:paraId="76432BCC" w14:textId="77777777" w:rsidTr="00563927">
        <w:tc>
          <w:tcPr>
            <w:tcW w:w="2269" w:type="dxa"/>
          </w:tcPr>
          <w:p w14:paraId="3EC089ED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013" w:type="dxa"/>
          </w:tcPr>
          <w:p w14:paraId="7B7823F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665" w:type="dxa"/>
          </w:tcPr>
          <w:p w14:paraId="4B09610C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417" w:type="dxa"/>
          </w:tcPr>
          <w:p w14:paraId="41DCF5C8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9" w:type="dxa"/>
          </w:tcPr>
          <w:p w14:paraId="54CDCD20" w14:textId="77777777" w:rsidR="00656362" w:rsidRPr="00563927" w:rsidRDefault="00656362" w:rsidP="00563927">
            <w:pPr>
              <w:keepNext/>
              <w:spacing w:before="40" w:after="40"/>
              <w:ind w:left="0" w:right="-111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656362" w:rsidRPr="00563927" w14:paraId="59EF214A" w14:textId="77777777" w:rsidTr="00563927">
        <w:tc>
          <w:tcPr>
            <w:tcW w:w="2269" w:type="dxa"/>
          </w:tcPr>
          <w:p w14:paraId="09F435E3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jahodník, maliník</w:t>
            </w:r>
          </w:p>
        </w:tc>
        <w:tc>
          <w:tcPr>
            <w:tcW w:w="2013" w:type="dxa"/>
          </w:tcPr>
          <w:p w14:paraId="78C3F3D8" w14:textId="123EE2A9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106E9005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postřik, zálivka, máčení, kapková aplikace</w:t>
            </w:r>
          </w:p>
        </w:tc>
        <w:tc>
          <w:tcPr>
            <w:tcW w:w="1417" w:type="dxa"/>
          </w:tcPr>
          <w:p w14:paraId="7C97CEA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  <w:proofErr w:type="gramEnd"/>
          </w:p>
        </w:tc>
        <w:tc>
          <w:tcPr>
            <w:tcW w:w="1559" w:type="dxa"/>
          </w:tcPr>
          <w:p w14:paraId="66E0D242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21-28 dnů</w:t>
            </w:r>
          </w:p>
        </w:tc>
      </w:tr>
      <w:tr w:rsidR="00656362" w:rsidRPr="00563927" w14:paraId="3DABB00B" w14:textId="77777777" w:rsidTr="00563927">
        <w:tc>
          <w:tcPr>
            <w:tcW w:w="2269" w:type="dxa"/>
          </w:tcPr>
          <w:p w14:paraId="45DD02A0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2013" w:type="dxa"/>
          </w:tcPr>
          <w:p w14:paraId="4ABA9FCC" w14:textId="118A284B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74912F9F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zálivka, máčení, kapková aplikace</w:t>
            </w:r>
          </w:p>
        </w:tc>
        <w:tc>
          <w:tcPr>
            <w:tcW w:w="1417" w:type="dxa"/>
          </w:tcPr>
          <w:p w14:paraId="00DCD0CA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1-3x</w:t>
            </w:r>
            <w:proofErr w:type="gramEnd"/>
          </w:p>
        </w:tc>
        <w:tc>
          <w:tcPr>
            <w:tcW w:w="1559" w:type="dxa"/>
          </w:tcPr>
          <w:p w14:paraId="324289C2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1CFEF06E" w14:textId="77777777" w:rsidTr="00563927">
        <w:tc>
          <w:tcPr>
            <w:tcW w:w="2269" w:type="dxa"/>
          </w:tcPr>
          <w:p w14:paraId="7E8D6FC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zelenina listová, zelenina plodová, zelenina tykvovitá, paprika, rajče, baklažán</w:t>
            </w:r>
          </w:p>
        </w:tc>
        <w:tc>
          <w:tcPr>
            <w:tcW w:w="2013" w:type="dxa"/>
          </w:tcPr>
          <w:p w14:paraId="1306C685" w14:textId="7C386FE0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05FA94E4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postřik, zálivka, máčení, kapková aplikace</w:t>
            </w:r>
          </w:p>
        </w:tc>
        <w:tc>
          <w:tcPr>
            <w:tcW w:w="1417" w:type="dxa"/>
          </w:tcPr>
          <w:p w14:paraId="792EA79F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  <w:proofErr w:type="gramEnd"/>
          </w:p>
        </w:tc>
        <w:tc>
          <w:tcPr>
            <w:tcW w:w="1559" w:type="dxa"/>
          </w:tcPr>
          <w:p w14:paraId="0DE172D4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1C93737C" w14:textId="77777777" w:rsidTr="00563927">
        <w:tc>
          <w:tcPr>
            <w:tcW w:w="2269" w:type="dxa"/>
          </w:tcPr>
          <w:p w14:paraId="7B5A7563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chřest, artyčok, fenykl řapíkový, celer</w:t>
            </w:r>
          </w:p>
        </w:tc>
        <w:tc>
          <w:tcPr>
            <w:tcW w:w="2013" w:type="dxa"/>
          </w:tcPr>
          <w:p w14:paraId="58565777" w14:textId="1C28F224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03665DD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postřik, zálivka, máčení, kapková aplikace</w:t>
            </w:r>
          </w:p>
        </w:tc>
        <w:tc>
          <w:tcPr>
            <w:tcW w:w="1417" w:type="dxa"/>
          </w:tcPr>
          <w:p w14:paraId="092B4413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  <w:proofErr w:type="gramEnd"/>
          </w:p>
        </w:tc>
        <w:tc>
          <w:tcPr>
            <w:tcW w:w="1559" w:type="dxa"/>
          </w:tcPr>
          <w:p w14:paraId="5BDF3224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4BFC0CF9" w14:textId="77777777" w:rsidTr="00563927">
        <w:tc>
          <w:tcPr>
            <w:tcW w:w="2269" w:type="dxa"/>
          </w:tcPr>
          <w:p w14:paraId="5FC21EC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2013" w:type="dxa"/>
          </w:tcPr>
          <w:p w14:paraId="3524BEF8" w14:textId="69DE1C0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5DBF0CC7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postřik, zálivka, kapková aplikace</w:t>
            </w:r>
          </w:p>
        </w:tc>
        <w:tc>
          <w:tcPr>
            <w:tcW w:w="1417" w:type="dxa"/>
          </w:tcPr>
          <w:p w14:paraId="055A2296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3-4x</w:t>
            </w:r>
            <w:proofErr w:type="gramEnd"/>
          </w:p>
        </w:tc>
        <w:tc>
          <w:tcPr>
            <w:tcW w:w="1559" w:type="dxa"/>
          </w:tcPr>
          <w:p w14:paraId="6DED845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5D3DF641" w14:textId="77777777" w:rsidTr="00563927">
        <w:tc>
          <w:tcPr>
            <w:tcW w:w="2269" w:type="dxa"/>
          </w:tcPr>
          <w:p w14:paraId="1F8A8BF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2013" w:type="dxa"/>
          </w:tcPr>
          <w:p w14:paraId="21295974" w14:textId="08E6274A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4A598A3C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postřik, zálivka, kapková aplikace</w:t>
            </w:r>
          </w:p>
        </w:tc>
        <w:tc>
          <w:tcPr>
            <w:tcW w:w="1417" w:type="dxa"/>
          </w:tcPr>
          <w:p w14:paraId="68190A7E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  <w:proofErr w:type="gramEnd"/>
          </w:p>
        </w:tc>
        <w:tc>
          <w:tcPr>
            <w:tcW w:w="1559" w:type="dxa"/>
          </w:tcPr>
          <w:p w14:paraId="23B476CA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68B24472" w14:textId="77777777" w:rsidTr="00563927">
        <w:tc>
          <w:tcPr>
            <w:tcW w:w="2269" w:type="dxa"/>
          </w:tcPr>
          <w:p w14:paraId="2D1CF168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lesní stromy</w:t>
            </w:r>
          </w:p>
        </w:tc>
        <w:tc>
          <w:tcPr>
            <w:tcW w:w="2013" w:type="dxa"/>
          </w:tcPr>
          <w:p w14:paraId="4A65FBCC" w14:textId="007E0732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457992D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postřik, zálivka</w:t>
            </w:r>
          </w:p>
        </w:tc>
        <w:tc>
          <w:tcPr>
            <w:tcW w:w="1417" w:type="dxa"/>
          </w:tcPr>
          <w:p w14:paraId="6403BBEA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1-5x</w:t>
            </w:r>
            <w:proofErr w:type="gramEnd"/>
          </w:p>
        </w:tc>
        <w:tc>
          <w:tcPr>
            <w:tcW w:w="1559" w:type="dxa"/>
          </w:tcPr>
          <w:p w14:paraId="7E4CF079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21-28 dnů</w:t>
            </w:r>
          </w:p>
        </w:tc>
      </w:tr>
      <w:tr w:rsidR="00656362" w:rsidRPr="00563927" w14:paraId="15BF4BC0" w14:textId="77777777" w:rsidTr="00563927">
        <w:tc>
          <w:tcPr>
            <w:tcW w:w="2269" w:type="dxa"/>
          </w:tcPr>
          <w:p w14:paraId="19F8B83C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013" w:type="dxa"/>
          </w:tcPr>
          <w:p w14:paraId="75C0A212" w14:textId="7DE6BD50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7A16894B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zapravení do substrátu, ošetření půdy, postřik, zálivka, máčení, kapková aplikace</w:t>
            </w:r>
          </w:p>
        </w:tc>
        <w:tc>
          <w:tcPr>
            <w:tcW w:w="1417" w:type="dxa"/>
          </w:tcPr>
          <w:p w14:paraId="4D9DECB8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1-4x</w:t>
            </w:r>
            <w:proofErr w:type="gramEnd"/>
          </w:p>
        </w:tc>
        <w:tc>
          <w:tcPr>
            <w:tcW w:w="1559" w:type="dxa"/>
          </w:tcPr>
          <w:p w14:paraId="3E8F2D07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21 dnů</w:t>
            </w:r>
          </w:p>
        </w:tc>
      </w:tr>
      <w:tr w:rsidR="00656362" w:rsidRPr="00563927" w14:paraId="0949B24E" w14:textId="77777777" w:rsidTr="00563927">
        <w:tc>
          <w:tcPr>
            <w:tcW w:w="2269" w:type="dxa"/>
          </w:tcPr>
          <w:p w14:paraId="66C9AEEF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 xml:space="preserve">čekanka salátová, </w:t>
            </w:r>
            <w:proofErr w:type="spellStart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endívie</w:t>
            </w:r>
            <w:proofErr w:type="spellEnd"/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 xml:space="preserve"> širokolistá</w:t>
            </w:r>
          </w:p>
        </w:tc>
        <w:tc>
          <w:tcPr>
            <w:tcW w:w="2013" w:type="dxa"/>
          </w:tcPr>
          <w:p w14:paraId="6248EAC7" w14:textId="17F9901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podle způsobu aplikace</w:t>
            </w:r>
          </w:p>
        </w:tc>
        <w:tc>
          <w:tcPr>
            <w:tcW w:w="2665" w:type="dxa"/>
          </w:tcPr>
          <w:p w14:paraId="2263B9F9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máčení, postřik kořenů</w:t>
            </w:r>
          </w:p>
        </w:tc>
        <w:tc>
          <w:tcPr>
            <w:tcW w:w="1417" w:type="dxa"/>
          </w:tcPr>
          <w:p w14:paraId="66E24B96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63927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559" w:type="dxa"/>
          </w:tcPr>
          <w:p w14:paraId="127ABA4C" w14:textId="77777777" w:rsidR="00656362" w:rsidRPr="00563927" w:rsidRDefault="00656362" w:rsidP="00563927">
            <w:pPr>
              <w:keepNext/>
              <w:spacing w:before="40" w:after="40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3E407A6C" w14:textId="77777777" w:rsidR="00DA2199" w:rsidRDefault="00DA219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FAF4574" w14:textId="77777777" w:rsidR="00DA2199" w:rsidRDefault="00DA2199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5DCFBD5" w14:textId="2004E150" w:rsidR="00DA2199" w:rsidRDefault="00DA2199" w:rsidP="00DA219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>Přípravek lze aplikovat ve skleníku postřikem, namáčením, zálivkou/závlahou nebo vpravením do pěstebního substrátu. K tomu lze použít:</w:t>
      </w:r>
    </w:p>
    <w:p w14:paraId="7644825E" w14:textId="77777777" w:rsidR="006D16FA" w:rsidRPr="00DA2199" w:rsidRDefault="006D16FA" w:rsidP="00DA219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9B601EF" w14:textId="26A46144" w:rsidR="00DA2199" w:rsidRPr="00DA2199" w:rsidRDefault="00DA2199" w:rsidP="00DA2199">
      <w:pPr>
        <w:pStyle w:val="Odstavecseseznamem"/>
        <w:widowControl w:val="0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lastRenderedPageBreak/>
        <w:t>postřikovače zádové nebo na vozíku/trakaři,</w:t>
      </w:r>
    </w:p>
    <w:p w14:paraId="7674E259" w14:textId="432B2F29" w:rsidR="00DA2199" w:rsidRPr="00DA2199" w:rsidRDefault="00DA2199" w:rsidP="00DA2199">
      <w:pPr>
        <w:pStyle w:val="Odstavecseseznamem"/>
        <w:widowControl w:val="0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>postřikové/zálivkové mosty,</w:t>
      </w:r>
    </w:p>
    <w:p w14:paraId="7D1C56D5" w14:textId="2579CF71" w:rsidR="00DA2199" w:rsidRPr="00DA2199" w:rsidRDefault="00DA2199" w:rsidP="00DA2199">
      <w:pPr>
        <w:pStyle w:val="Odstavecseseznamem"/>
        <w:widowControl w:val="0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>zařízení na kapkovou závlahu a zálivkou apod.</w:t>
      </w:r>
    </w:p>
    <w:p w14:paraId="433C15CD" w14:textId="2CA9C573" w:rsidR="00DA2199" w:rsidRPr="00DA2199" w:rsidRDefault="00DA2199" w:rsidP="00DA2199">
      <w:pPr>
        <w:pStyle w:val="Odstavecseseznamem"/>
        <w:widowControl w:val="0"/>
        <w:numPr>
          <w:ilvl w:val="1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>ruční máčení (kořenů, řízků nebo cibulek)</w:t>
      </w:r>
    </w:p>
    <w:p w14:paraId="731D2D04" w14:textId="3C3E8DE6" w:rsidR="00DA2199" w:rsidRPr="00DA2199" w:rsidRDefault="00DA2199" w:rsidP="00DA219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A2199">
        <w:rPr>
          <w:rFonts w:ascii="Times New Roman" w:hAnsi="Times New Roman"/>
          <w:sz w:val="24"/>
          <w:szCs w:val="24"/>
        </w:rPr>
        <w:t xml:space="preserve">Při ručním postřiku je třeba použít postřikovací tyč (nástavec) o délce nejméně </w:t>
      </w:r>
      <w:r>
        <w:rPr>
          <w:rFonts w:ascii="Times New Roman" w:hAnsi="Times New Roman"/>
          <w:sz w:val="24"/>
          <w:szCs w:val="24"/>
        </w:rPr>
        <w:t>0,5</w:t>
      </w:r>
      <w:r w:rsidRPr="00DA2199">
        <w:rPr>
          <w:rFonts w:ascii="Times New Roman" w:hAnsi="Times New Roman"/>
          <w:sz w:val="24"/>
          <w:szCs w:val="24"/>
        </w:rPr>
        <w:t xml:space="preserve"> m.</w:t>
      </w:r>
    </w:p>
    <w:p w14:paraId="28C03A76" w14:textId="77777777" w:rsidR="00A379E5" w:rsidRDefault="00A379E5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8D06671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171699">
        <w:rPr>
          <w:rFonts w:ascii="Times New Roman" w:hAnsi="Times New Roman"/>
          <w:sz w:val="24"/>
          <w:szCs w:val="24"/>
        </w:rPr>
        <w:t>Lalstop</w:t>
      </w:r>
      <w:proofErr w:type="spellEnd"/>
      <w:r w:rsidR="00171699">
        <w:rPr>
          <w:rFonts w:ascii="Times New Roman" w:hAnsi="Times New Roman"/>
          <w:sz w:val="24"/>
          <w:szCs w:val="24"/>
        </w:rPr>
        <w:t xml:space="preserve"> </w:t>
      </w:r>
      <w:r w:rsidR="006D16FA">
        <w:rPr>
          <w:rFonts w:ascii="Times New Roman" w:hAnsi="Times New Roman"/>
          <w:sz w:val="24"/>
          <w:szCs w:val="24"/>
        </w:rPr>
        <w:t>G46 WG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D16FA">
        <w:rPr>
          <w:rFonts w:ascii="Times New Roman" w:hAnsi="Times New Roman"/>
          <w:sz w:val="24"/>
          <w:szCs w:val="24"/>
        </w:rPr>
        <w:t>6064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D16FA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F3662C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171699">
        <w:rPr>
          <w:rFonts w:ascii="Times New Roman" w:hAnsi="Times New Roman"/>
          <w:sz w:val="24"/>
          <w:szCs w:val="24"/>
        </w:rPr>
        <w:t>Lalstop</w:t>
      </w:r>
      <w:proofErr w:type="spellEnd"/>
      <w:r w:rsidR="00171699">
        <w:rPr>
          <w:rFonts w:ascii="Times New Roman" w:hAnsi="Times New Roman"/>
          <w:sz w:val="24"/>
          <w:szCs w:val="24"/>
        </w:rPr>
        <w:t xml:space="preserve"> </w:t>
      </w:r>
      <w:r w:rsidR="006D16FA">
        <w:rPr>
          <w:rFonts w:ascii="Times New Roman" w:hAnsi="Times New Roman"/>
          <w:sz w:val="24"/>
          <w:szCs w:val="24"/>
        </w:rPr>
        <w:t>G46</w:t>
      </w:r>
      <w:r w:rsidR="00171699">
        <w:rPr>
          <w:rFonts w:ascii="Times New Roman" w:hAnsi="Times New Roman"/>
          <w:sz w:val="24"/>
          <w:szCs w:val="24"/>
        </w:rPr>
        <w:t xml:space="preserve"> WG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CCFD21" w14:textId="6493AA04" w:rsidR="00663216" w:rsidRDefault="00663216" w:rsidP="006632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9945500"/>
    </w:p>
    <w:p w14:paraId="0FEE35D2" w14:textId="475E0F7C" w:rsidR="006D16FA" w:rsidRDefault="006D16FA" w:rsidP="006632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84E195" w14:textId="642C7BF6" w:rsidR="006D16FA" w:rsidRDefault="006D16FA" w:rsidP="006632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9C8454" w14:textId="77777777" w:rsidR="006D16FA" w:rsidRPr="00E1663C" w:rsidRDefault="006D16FA" w:rsidP="0066321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08CD1DF3" w14:textId="3B568173" w:rsidR="00663216" w:rsidRDefault="00663216" w:rsidP="006632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7B5522" w14:textId="77777777" w:rsidR="00423DD2" w:rsidRDefault="00423DD2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151B" w14:textId="77777777" w:rsidR="00263E8C" w:rsidRDefault="00263E8C" w:rsidP="00CE12AE">
      <w:pPr>
        <w:spacing w:after="0" w:line="240" w:lineRule="auto"/>
      </w:pPr>
      <w:r>
        <w:separator/>
      </w:r>
    </w:p>
  </w:endnote>
  <w:endnote w:type="continuationSeparator" w:id="0">
    <w:p w14:paraId="050161F0" w14:textId="77777777" w:rsidR="00263E8C" w:rsidRDefault="00263E8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46DE" w14:textId="77777777" w:rsidR="00263E8C" w:rsidRDefault="00263E8C" w:rsidP="00CE12AE">
      <w:pPr>
        <w:spacing w:after="0" w:line="240" w:lineRule="auto"/>
      </w:pPr>
      <w:r>
        <w:separator/>
      </w:r>
    </w:p>
  </w:footnote>
  <w:footnote w:type="continuationSeparator" w:id="0">
    <w:p w14:paraId="3C8D9CED" w14:textId="77777777" w:rsidR="00263E8C" w:rsidRDefault="00263E8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31BE"/>
    <w:multiLevelType w:val="hybridMultilevel"/>
    <w:tmpl w:val="092403E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524A1"/>
    <w:multiLevelType w:val="hybridMultilevel"/>
    <w:tmpl w:val="CBE0DE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A27DAF"/>
    <w:multiLevelType w:val="hybridMultilevel"/>
    <w:tmpl w:val="326CAC7A"/>
    <w:lvl w:ilvl="0" w:tplc="30D6FEE4">
      <w:start w:val="1"/>
      <w:numFmt w:val="lowerLetter"/>
      <w:lvlText w:val="%1)"/>
      <w:lvlJc w:val="left"/>
      <w:pPr>
        <w:ind w:left="11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1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4"/>
  </w:num>
  <w:num w:numId="6" w16cid:durableId="1872718983">
    <w:abstractNumId w:val="3"/>
  </w:num>
  <w:num w:numId="7" w16cid:durableId="1901211247">
    <w:abstractNumId w:val="7"/>
  </w:num>
  <w:num w:numId="8" w16cid:durableId="1934585991">
    <w:abstractNumId w:val="0"/>
  </w:num>
  <w:num w:numId="9" w16cid:durableId="1110247142">
    <w:abstractNumId w:val="5"/>
  </w:num>
  <w:num w:numId="10" w16cid:durableId="939346">
    <w:abstractNumId w:val="10"/>
  </w:num>
  <w:num w:numId="11" w16cid:durableId="1963924607">
    <w:abstractNumId w:val="9"/>
  </w:num>
  <w:num w:numId="12" w16cid:durableId="194596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1699"/>
    <w:rsid w:val="001757EB"/>
    <w:rsid w:val="00176ECA"/>
    <w:rsid w:val="00180DC3"/>
    <w:rsid w:val="001811BD"/>
    <w:rsid w:val="00184588"/>
    <w:rsid w:val="00187A02"/>
    <w:rsid w:val="001927DE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6AD1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3E8C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D59A3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3DD2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6C3A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883"/>
    <w:rsid w:val="00550EAE"/>
    <w:rsid w:val="00552179"/>
    <w:rsid w:val="00555EDC"/>
    <w:rsid w:val="00556205"/>
    <w:rsid w:val="005624A7"/>
    <w:rsid w:val="00563927"/>
    <w:rsid w:val="00563FCF"/>
    <w:rsid w:val="00564030"/>
    <w:rsid w:val="00564B2A"/>
    <w:rsid w:val="005656ED"/>
    <w:rsid w:val="00570876"/>
    <w:rsid w:val="0057259D"/>
    <w:rsid w:val="0058391A"/>
    <w:rsid w:val="005856D3"/>
    <w:rsid w:val="005858D7"/>
    <w:rsid w:val="00591795"/>
    <w:rsid w:val="00591BEA"/>
    <w:rsid w:val="00592741"/>
    <w:rsid w:val="005931DA"/>
    <w:rsid w:val="005A4C6C"/>
    <w:rsid w:val="005A5194"/>
    <w:rsid w:val="005A5279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355A3"/>
    <w:rsid w:val="00646029"/>
    <w:rsid w:val="006475EA"/>
    <w:rsid w:val="00656362"/>
    <w:rsid w:val="00660EF5"/>
    <w:rsid w:val="00663216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16FA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4AB7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6CB8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41CC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34B0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65C5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57F81"/>
    <w:rsid w:val="009615A4"/>
    <w:rsid w:val="00966908"/>
    <w:rsid w:val="0097678F"/>
    <w:rsid w:val="009772CA"/>
    <w:rsid w:val="009778CC"/>
    <w:rsid w:val="0098086D"/>
    <w:rsid w:val="009823D3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515D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379E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388E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2E68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094"/>
    <w:rsid w:val="00DA0D86"/>
    <w:rsid w:val="00DA1B7C"/>
    <w:rsid w:val="00DA2199"/>
    <w:rsid w:val="00DA3E61"/>
    <w:rsid w:val="00DB1CCF"/>
    <w:rsid w:val="00DB2D62"/>
    <w:rsid w:val="00DB3062"/>
    <w:rsid w:val="00DB33D2"/>
    <w:rsid w:val="00DC07FB"/>
    <w:rsid w:val="00DC1770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0773"/>
    <w:rsid w:val="00E61336"/>
    <w:rsid w:val="00E6168E"/>
    <w:rsid w:val="00E618DB"/>
    <w:rsid w:val="00E658A4"/>
    <w:rsid w:val="00E74369"/>
    <w:rsid w:val="00E77999"/>
    <w:rsid w:val="00E77CF9"/>
    <w:rsid w:val="00E8205C"/>
    <w:rsid w:val="00E8281E"/>
    <w:rsid w:val="00E92B90"/>
    <w:rsid w:val="00E95CA6"/>
    <w:rsid w:val="00E96110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007F"/>
    <w:rsid w:val="00F3641E"/>
    <w:rsid w:val="00F375DE"/>
    <w:rsid w:val="00F42D77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99"/>
    <w:rsid w:val="0065636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1663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2024-01-04T12:15:00Z</dcterms:created>
  <dcterms:modified xsi:type="dcterms:W3CDTF">2024-01-10T06:58:00Z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