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629" w:rsidRPr="00392577" w:rsidRDefault="001E07BE" w:rsidP="0097534D">
      <w:pPr>
        <w:tabs>
          <w:tab w:val="left" w:pos="6480"/>
        </w:tabs>
        <w:jc w:val="center"/>
        <w:rPr>
          <w:rFonts w:ascii="Arial" w:hAnsi="Arial" w:cs="Arial"/>
          <w:b/>
          <w:sz w:val="20"/>
          <w:szCs w:val="20"/>
        </w:rPr>
      </w:pPr>
      <w:r w:rsidRPr="00392577">
        <w:rPr>
          <w:rFonts w:ascii="Arial" w:hAnsi="Arial" w:cs="Arial"/>
          <w:b/>
          <w:sz w:val="20"/>
          <w:szCs w:val="20"/>
        </w:rPr>
        <w:t>Statutární město Zlín</w:t>
      </w:r>
    </w:p>
    <w:p w:rsidR="00226804" w:rsidRPr="00392577" w:rsidRDefault="00870629" w:rsidP="0097534D">
      <w:pPr>
        <w:tabs>
          <w:tab w:val="left" w:pos="6480"/>
        </w:tabs>
        <w:jc w:val="center"/>
        <w:rPr>
          <w:rFonts w:ascii="Arial" w:hAnsi="Arial" w:cs="Arial"/>
          <w:b/>
          <w:sz w:val="20"/>
          <w:szCs w:val="20"/>
        </w:rPr>
      </w:pPr>
      <w:r w:rsidRPr="00392577">
        <w:rPr>
          <w:rFonts w:ascii="Arial" w:hAnsi="Arial" w:cs="Arial"/>
          <w:b/>
          <w:sz w:val="20"/>
          <w:szCs w:val="20"/>
        </w:rPr>
        <w:t>Rada města</w:t>
      </w:r>
    </w:p>
    <w:p w:rsidR="0097534D" w:rsidRPr="00392577" w:rsidRDefault="001E07BE" w:rsidP="0097534D">
      <w:pPr>
        <w:tabs>
          <w:tab w:val="left" w:pos="6480"/>
        </w:tabs>
        <w:jc w:val="center"/>
        <w:rPr>
          <w:rFonts w:ascii="Arial" w:hAnsi="Arial" w:cs="Arial"/>
          <w:b/>
        </w:rPr>
      </w:pPr>
      <w:r w:rsidRPr="00392577">
        <w:rPr>
          <w:rFonts w:ascii="Arial" w:hAnsi="Arial" w:cs="Arial"/>
          <w:b/>
          <w:sz w:val="20"/>
          <w:szCs w:val="20"/>
        </w:rPr>
        <w:br/>
      </w:r>
      <w:r w:rsidRPr="00392577">
        <w:rPr>
          <w:rFonts w:ascii="Arial" w:hAnsi="Arial" w:cs="Arial"/>
          <w:sz w:val="20"/>
          <w:szCs w:val="20"/>
        </w:rPr>
        <w:br/>
      </w:r>
      <w:r w:rsidRPr="00392577">
        <w:rPr>
          <w:rFonts w:ascii="Arial" w:hAnsi="Arial" w:cs="Arial"/>
          <w:b/>
        </w:rPr>
        <w:t>N</w:t>
      </w:r>
      <w:r w:rsidR="00086608" w:rsidRPr="00392577">
        <w:rPr>
          <w:rFonts w:ascii="Arial" w:hAnsi="Arial" w:cs="Arial"/>
          <w:b/>
        </w:rPr>
        <w:t>ařízení</w:t>
      </w:r>
    </w:p>
    <w:p w:rsidR="009E7F3A" w:rsidRPr="00392577" w:rsidRDefault="001E07BE" w:rsidP="00392577">
      <w:pPr>
        <w:tabs>
          <w:tab w:val="left" w:pos="6480"/>
        </w:tabs>
        <w:jc w:val="center"/>
        <w:rPr>
          <w:rFonts w:ascii="Arial" w:hAnsi="Arial" w:cs="Arial"/>
          <w:b/>
          <w:sz w:val="20"/>
          <w:szCs w:val="20"/>
        </w:rPr>
      </w:pPr>
      <w:r w:rsidRPr="00392577">
        <w:rPr>
          <w:rFonts w:ascii="Arial" w:hAnsi="Arial" w:cs="Arial"/>
          <w:b/>
        </w:rPr>
        <w:t xml:space="preserve">o </w:t>
      </w:r>
      <w:r w:rsidR="00392577" w:rsidRPr="00392577">
        <w:rPr>
          <w:rFonts w:ascii="Arial" w:hAnsi="Arial" w:cs="Arial"/>
          <w:b/>
        </w:rPr>
        <w:t>vymezení oblastí, ve kterých lze místní komunikace nebo jejich určené úseky užít ke stání silničního motorového vozidla za cenu sjednanou v souladu s cenovými předpisy</w:t>
      </w:r>
    </w:p>
    <w:p w:rsidR="00392577" w:rsidRPr="00392577" w:rsidRDefault="00392577" w:rsidP="00392577">
      <w:pPr>
        <w:tabs>
          <w:tab w:val="left" w:pos="6480"/>
        </w:tabs>
        <w:jc w:val="center"/>
        <w:rPr>
          <w:rFonts w:ascii="Arial" w:hAnsi="Arial" w:cs="Arial"/>
          <w:b/>
          <w:sz w:val="20"/>
          <w:szCs w:val="20"/>
        </w:rPr>
      </w:pPr>
    </w:p>
    <w:p w:rsidR="00392577" w:rsidRDefault="00392577" w:rsidP="009E7F3A">
      <w:pPr>
        <w:jc w:val="both"/>
        <w:rPr>
          <w:rFonts w:ascii="Arial" w:hAnsi="Arial" w:cs="Arial"/>
          <w:sz w:val="20"/>
          <w:szCs w:val="20"/>
        </w:rPr>
      </w:pPr>
    </w:p>
    <w:p w:rsidR="00226804" w:rsidRPr="00392577" w:rsidRDefault="001E07BE" w:rsidP="009E7F3A">
      <w:pPr>
        <w:jc w:val="both"/>
        <w:rPr>
          <w:rFonts w:ascii="Arial" w:hAnsi="Arial" w:cs="Arial"/>
          <w:i/>
          <w:sz w:val="20"/>
          <w:szCs w:val="20"/>
        </w:rPr>
      </w:pPr>
      <w:r w:rsidRPr="00392577">
        <w:rPr>
          <w:rFonts w:ascii="Arial" w:hAnsi="Arial" w:cs="Arial"/>
          <w:sz w:val="20"/>
          <w:szCs w:val="20"/>
        </w:rPr>
        <w:t>Rada města Zlína na své</w:t>
      </w:r>
      <w:r w:rsidR="003F6BB5">
        <w:rPr>
          <w:rFonts w:ascii="Arial" w:hAnsi="Arial" w:cs="Arial"/>
          <w:sz w:val="20"/>
          <w:szCs w:val="20"/>
        </w:rPr>
        <w:t xml:space="preserve"> schůzi</w:t>
      </w:r>
      <w:r w:rsidRPr="00392577">
        <w:rPr>
          <w:rFonts w:ascii="Arial" w:hAnsi="Arial" w:cs="Arial"/>
          <w:sz w:val="20"/>
          <w:szCs w:val="20"/>
        </w:rPr>
        <w:t xml:space="preserve"> dne </w:t>
      </w:r>
      <w:r w:rsidR="00825CFE">
        <w:rPr>
          <w:rFonts w:ascii="Arial" w:hAnsi="Arial" w:cs="Arial"/>
          <w:sz w:val="20"/>
          <w:szCs w:val="20"/>
        </w:rPr>
        <w:t>9. 9. 2024</w:t>
      </w:r>
      <w:r w:rsidR="00086608" w:rsidRPr="00392577">
        <w:rPr>
          <w:rFonts w:ascii="Arial" w:hAnsi="Arial" w:cs="Arial"/>
          <w:sz w:val="20"/>
          <w:szCs w:val="20"/>
        </w:rPr>
        <w:t xml:space="preserve"> usnesla</w:t>
      </w:r>
      <w:r w:rsidR="00392577" w:rsidRPr="00392577">
        <w:rPr>
          <w:rFonts w:ascii="Arial" w:hAnsi="Arial" w:cs="Arial"/>
          <w:sz w:val="20"/>
          <w:szCs w:val="20"/>
        </w:rPr>
        <w:t xml:space="preserve"> usnesením č.</w:t>
      </w:r>
      <w:r w:rsidR="00825CFE">
        <w:rPr>
          <w:rFonts w:ascii="Arial" w:hAnsi="Arial" w:cs="Arial"/>
          <w:sz w:val="20"/>
          <w:szCs w:val="20"/>
        </w:rPr>
        <w:t>71/17R/2024</w:t>
      </w:r>
      <w:r w:rsidRPr="00392577">
        <w:rPr>
          <w:rFonts w:ascii="Arial" w:hAnsi="Arial" w:cs="Arial"/>
          <w:sz w:val="20"/>
          <w:szCs w:val="20"/>
        </w:rPr>
        <w:t xml:space="preserve"> </w:t>
      </w:r>
      <w:r w:rsidR="00086608" w:rsidRPr="00392577">
        <w:rPr>
          <w:rFonts w:ascii="Arial" w:hAnsi="Arial" w:cs="Arial"/>
          <w:sz w:val="20"/>
          <w:szCs w:val="20"/>
        </w:rPr>
        <w:t xml:space="preserve">vydat na základě ustanovení </w:t>
      </w:r>
      <w:r w:rsidR="00392577">
        <w:rPr>
          <w:rFonts w:ascii="Arial" w:hAnsi="Arial" w:cs="Arial"/>
          <w:sz w:val="20"/>
          <w:szCs w:val="20"/>
        </w:rPr>
        <w:t>§ </w:t>
      </w:r>
      <w:r w:rsidR="009D40CE" w:rsidRPr="00392577">
        <w:rPr>
          <w:rFonts w:ascii="Arial" w:hAnsi="Arial" w:cs="Arial"/>
          <w:sz w:val="20"/>
          <w:szCs w:val="20"/>
        </w:rPr>
        <w:t>2</w:t>
      </w:r>
      <w:r w:rsidR="0073515D" w:rsidRPr="00392577">
        <w:rPr>
          <w:rFonts w:ascii="Arial" w:hAnsi="Arial" w:cs="Arial"/>
          <w:sz w:val="20"/>
          <w:szCs w:val="20"/>
        </w:rPr>
        <w:t>3</w:t>
      </w:r>
      <w:r w:rsidR="009D40CE" w:rsidRPr="00392577">
        <w:rPr>
          <w:rFonts w:ascii="Arial" w:hAnsi="Arial" w:cs="Arial"/>
          <w:sz w:val="20"/>
          <w:szCs w:val="20"/>
        </w:rPr>
        <w:t xml:space="preserve"> odst. 1</w:t>
      </w:r>
      <w:r w:rsidR="00392577" w:rsidRPr="00392577">
        <w:rPr>
          <w:rFonts w:ascii="Arial" w:hAnsi="Arial" w:cs="Arial"/>
          <w:sz w:val="20"/>
          <w:szCs w:val="20"/>
        </w:rPr>
        <w:t xml:space="preserve"> písm. a) a c)</w:t>
      </w:r>
      <w:r w:rsidR="009D40CE" w:rsidRPr="00392577">
        <w:rPr>
          <w:rFonts w:ascii="Arial" w:hAnsi="Arial" w:cs="Arial"/>
          <w:sz w:val="20"/>
          <w:szCs w:val="20"/>
        </w:rPr>
        <w:t xml:space="preserve"> zákona č. 13/1997 Sb., o pozemních komunikacích, ve znění pozdějších předpisů, a v souladu s § 11 odst. </w:t>
      </w:r>
      <w:smartTag w:uri="urn:schemas-microsoft-com:office:smarttags" w:element="metricconverter">
        <w:smartTagPr>
          <w:attr w:name="ProductID" w:val="1 a"/>
        </w:smartTagPr>
        <w:r w:rsidR="009D40CE" w:rsidRPr="00392577">
          <w:rPr>
            <w:rFonts w:ascii="Arial" w:hAnsi="Arial" w:cs="Arial"/>
            <w:sz w:val="20"/>
            <w:szCs w:val="20"/>
          </w:rPr>
          <w:t>1 a</w:t>
        </w:r>
      </w:smartTag>
      <w:r w:rsidR="009D40CE" w:rsidRPr="00392577">
        <w:rPr>
          <w:rFonts w:ascii="Arial" w:hAnsi="Arial" w:cs="Arial"/>
          <w:sz w:val="20"/>
          <w:szCs w:val="20"/>
        </w:rPr>
        <w:t xml:space="preserve"> § 102 odst. 2 písm. d) zákona č.</w:t>
      </w:r>
      <w:r w:rsidRPr="00392577">
        <w:rPr>
          <w:rFonts w:ascii="Arial" w:hAnsi="Arial" w:cs="Arial"/>
          <w:sz w:val="20"/>
          <w:szCs w:val="20"/>
        </w:rPr>
        <w:t xml:space="preserve"> 128/2000</w:t>
      </w:r>
      <w:r w:rsidR="009D40CE" w:rsidRPr="00392577">
        <w:rPr>
          <w:rFonts w:ascii="Arial" w:hAnsi="Arial" w:cs="Arial"/>
          <w:sz w:val="20"/>
          <w:szCs w:val="20"/>
        </w:rPr>
        <w:t> </w:t>
      </w:r>
      <w:r w:rsidRPr="00392577">
        <w:rPr>
          <w:rFonts w:ascii="Arial" w:hAnsi="Arial" w:cs="Arial"/>
          <w:sz w:val="20"/>
          <w:szCs w:val="20"/>
        </w:rPr>
        <w:t>Sb., o obcích</w:t>
      </w:r>
      <w:r w:rsidR="009D40CE" w:rsidRPr="00392577">
        <w:rPr>
          <w:rFonts w:ascii="Arial" w:hAnsi="Arial" w:cs="Arial"/>
          <w:sz w:val="20"/>
          <w:szCs w:val="20"/>
        </w:rPr>
        <w:t xml:space="preserve"> (obecní zřízení)</w:t>
      </w:r>
      <w:r w:rsidRPr="00392577">
        <w:rPr>
          <w:rFonts w:ascii="Arial" w:hAnsi="Arial" w:cs="Arial"/>
          <w:sz w:val="20"/>
          <w:szCs w:val="20"/>
        </w:rPr>
        <w:t>, ve znění pozdějších předpisů</w:t>
      </w:r>
      <w:r w:rsidR="009D40CE" w:rsidRPr="00392577">
        <w:rPr>
          <w:rFonts w:ascii="Arial" w:hAnsi="Arial" w:cs="Arial"/>
          <w:sz w:val="20"/>
          <w:szCs w:val="20"/>
        </w:rPr>
        <w:t>,</w:t>
      </w:r>
      <w:r w:rsidRPr="00392577">
        <w:rPr>
          <w:rFonts w:ascii="Arial" w:hAnsi="Arial" w:cs="Arial"/>
          <w:sz w:val="20"/>
          <w:szCs w:val="20"/>
        </w:rPr>
        <w:t xml:space="preserve"> toto nařízení:</w:t>
      </w:r>
    </w:p>
    <w:p w:rsidR="00086608" w:rsidRPr="00392577" w:rsidRDefault="00086608" w:rsidP="0008660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692868" w:rsidRPr="00392577" w:rsidRDefault="00692868" w:rsidP="00692868">
      <w:pPr>
        <w:tabs>
          <w:tab w:val="left" w:pos="6480"/>
        </w:tabs>
        <w:jc w:val="center"/>
        <w:rPr>
          <w:rFonts w:ascii="Arial" w:hAnsi="Arial" w:cs="Arial"/>
          <w:b/>
          <w:sz w:val="20"/>
          <w:szCs w:val="20"/>
        </w:rPr>
      </w:pPr>
      <w:r w:rsidRPr="00392577">
        <w:rPr>
          <w:rFonts w:ascii="Arial" w:hAnsi="Arial" w:cs="Arial"/>
          <w:b/>
          <w:sz w:val="20"/>
          <w:szCs w:val="20"/>
        </w:rPr>
        <w:t>Článek 1</w:t>
      </w:r>
    </w:p>
    <w:p w:rsidR="00692868" w:rsidRPr="00392577" w:rsidRDefault="00EB52C2" w:rsidP="00692868">
      <w:pPr>
        <w:tabs>
          <w:tab w:val="left" w:pos="648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Vymezení oblastí</w:t>
      </w:r>
    </w:p>
    <w:p w:rsidR="00692868" w:rsidRPr="00392577" w:rsidRDefault="00692868" w:rsidP="00692868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</w:p>
    <w:p w:rsidR="00692868" w:rsidRPr="00392577" w:rsidRDefault="00EB52C2" w:rsidP="00EB52C2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692868" w:rsidRPr="00392577">
        <w:rPr>
          <w:rFonts w:ascii="Arial" w:hAnsi="Arial" w:cs="Arial"/>
          <w:sz w:val="20"/>
          <w:szCs w:val="20"/>
        </w:rPr>
        <w:t>blasti statutárního města Zlína (</w:t>
      </w:r>
      <w:r w:rsidR="00692868" w:rsidRPr="009D6FF2">
        <w:rPr>
          <w:rFonts w:ascii="Arial" w:hAnsi="Arial" w:cs="Arial"/>
          <w:sz w:val="20"/>
          <w:szCs w:val="20"/>
        </w:rPr>
        <w:t>dále jen „město“)</w:t>
      </w:r>
      <w:r w:rsidR="00692868" w:rsidRPr="00392577">
        <w:rPr>
          <w:rFonts w:ascii="Arial" w:hAnsi="Arial" w:cs="Arial"/>
          <w:sz w:val="20"/>
          <w:szCs w:val="20"/>
        </w:rPr>
        <w:t>, ve kterých lze užít místní komunikace</w:t>
      </w:r>
      <w:r w:rsidR="00392577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392577">
        <w:rPr>
          <w:rFonts w:ascii="Arial" w:hAnsi="Arial" w:cs="Arial"/>
          <w:sz w:val="20"/>
          <w:szCs w:val="20"/>
        </w:rPr>
        <w:t xml:space="preserve"> </w:t>
      </w:r>
      <w:r w:rsidR="00692868" w:rsidRPr="00392577">
        <w:rPr>
          <w:rFonts w:ascii="Arial" w:hAnsi="Arial" w:cs="Arial"/>
          <w:sz w:val="20"/>
          <w:szCs w:val="20"/>
        </w:rPr>
        <w:t xml:space="preserve">nebo jejich určené úseky </w:t>
      </w:r>
      <w:r w:rsidR="00C046F5">
        <w:rPr>
          <w:rFonts w:ascii="Arial" w:hAnsi="Arial" w:cs="Arial"/>
          <w:sz w:val="20"/>
          <w:szCs w:val="20"/>
        </w:rPr>
        <w:t>(dále jen „</w:t>
      </w:r>
      <w:r w:rsidR="00031EFD">
        <w:rPr>
          <w:rFonts w:ascii="Arial" w:hAnsi="Arial" w:cs="Arial"/>
          <w:sz w:val="20"/>
          <w:szCs w:val="20"/>
        </w:rPr>
        <w:t>určené úseky komunikací</w:t>
      </w:r>
      <w:r w:rsidR="00C046F5">
        <w:rPr>
          <w:rFonts w:ascii="Arial" w:hAnsi="Arial" w:cs="Arial"/>
          <w:sz w:val="20"/>
          <w:szCs w:val="20"/>
        </w:rPr>
        <w:t xml:space="preserve">“) </w:t>
      </w:r>
      <w:r w:rsidR="00692868" w:rsidRPr="00392577">
        <w:rPr>
          <w:rFonts w:ascii="Arial" w:hAnsi="Arial" w:cs="Arial"/>
          <w:sz w:val="20"/>
          <w:szCs w:val="20"/>
        </w:rPr>
        <w:t>jen za cenu sjednanou v souladu s cenovými předpisy</w:t>
      </w:r>
      <w:r w:rsidR="00392577">
        <w:rPr>
          <w:rStyle w:val="Znakapoznpodarou"/>
          <w:rFonts w:ascii="Arial" w:hAnsi="Arial" w:cs="Arial"/>
          <w:sz w:val="20"/>
          <w:szCs w:val="20"/>
        </w:rPr>
        <w:footnoteReference w:id="2"/>
      </w:r>
    </w:p>
    <w:p w:rsidR="00692868" w:rsidRPr="00392577" w:rsidRDefault="00692868" w:rsidP="008443FA">
      <w:pPr>
        <w:numPr>
          <w:ilvl w:val="0"/>
          <w:numId w:val="12"/>
        </w:numPr>
        <w:tabs>
          <w:tab w:val="clear" w:pos="1440"/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392577">
        <w:rPr>
          <w:rFonts w:ascii="Arial" w:hAnsi="Arial" w:cs="Arial"/>
          <w:sz w:val="20"/>
          <w:szCs w:val="20"/>
        </w:rPr>
        <w:t>k stání silničního motorového vozidla (dále jen „</w:t>
      </w:r>
      <w:r w:rsidRPr="009D6FF2">
        <w:rPr>
          <w:rFonts w:ascii="Arial" w:hAnsi="Arial" w:cs="Arial"/>
          <w:sz w:val="20"/>
          <w:szCs w:val="20"/>
        </w:rPr>
        <w:t>vozidlo“</w:t>
      </w:r>
      <w:r w:rsidRPr="00392577">
        <w:rPr>
          <w:rFonts w:ascii="Arial" w:hAnsi="Arial" w:cs="Arial"/>
          <w:sz w:val="20"/>
          <w:szCs w:val="20"/>
        </w:rPr>
        <w:t>) na dobu časově omezenou, nejvýše však na dobu 24 hodin,</w:t>
      </w:r>
      <w:r w:rsidR="00EB52C2">
        <w:rPr>
          <w:rFonts w:ascii="Arial" w:hAnsi="Arial" w:cs="Arial"/>
          <w:sz w:val="20"/>
          <w:szCs w:val="20"/>
        </w:rPr>
        <w:t xml:space="preserve"> </w:t>
      </w:r>
      <w:r w:rsidR="00B414FF">
        <w:rPr>
          <w:rFonts w:ascii="Arial" w:hAnsi="Arial" w:cs="Arial"/>
          <w:sz w:val="20"/>
          <w:szCs w:val="20"/>
        </w:rPr>
        <w:t>nebo</w:t>
      </w:r>
    </w:p>
    <w:p w:rsidR="00EB52C2" w:rsidRDefault="00692868" w:rsidP="008443FA">
      <w:pPr>
        <w:numPr>
          <w:ilvl w:val="0"/>
          <w:numId w:val="12"/>
        </w:numPr>
        <w:tabs>
          <w:tab w:val="clear" w:pos="1440"/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EB52C2">
        <w:rPr>
          <w:rFonts w:ascii="Arial" w:hAnsi="Arial" w:cs="Arial"/>
          <w:sz w:val="20"/>
          <w:szCs w:val="20"/>
        </w:rPr>
        <w:t>k stání vozidla provozovaného právnickou nebo fyzickou osobou za účelem podnikání podle zvláštního právního předpisu</w:t>
      </w:r>
      <w:r w:rsidR="00EB52C2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="00EB52C2" w:rsidRPr="00EB52C2">
        <w:rPr>
          <w:rFonts w:ascii="Arial" w:hAnsi="Arial" w:cs="Arial"/>
          <w:sz w:val="20"/>
          <w:szCs w:val="20"/>
        </w:rPr>
        <w:t xml:space="preserve">, </w:t>
      </w:r>
      <w:r w:rsidRPr="00EB52C2">
        <w:rPr>
          <w:rFonts w:ascii="Arial" w:hAnsi="Arial" w:cs="Arial"/>
          <w:sz w:val="20"/>
          <w:szCs w:val="20"/>
        </w:rPr>
        <w:t>která má sídlo nebo provozovnu ve vymezené oblasti města, nebo k stání vozidla fyzické osoby, která má místo trvalého pobytu nebo je vlastníkem nemovitosti ve vymezené oblasti města</w:t>
      </w:r>
      <w:r w:rsidR="00B414FF">
        <w:rPr>
          <w:rFonts w:ascii="Arial" w:hAnsi="Arial" w:cs="Arial"/>
          <w:sz w:val="20"/>
          <w:szCs w:val="20"/>
        </w:rPr>
        <w:t>,</w:t>
      </w:r>
      <w:r w:rsidRPr="00EB52C2">
        <w:rPr>
          <w:rFonts w:ascii="Arial" w:hAnsi="Arial" w:cs="Arial"/>
          <w:sz w:val="20"/>
          <w:szCs w:val="20"/>
        </w:rPr>
        <w:t xml:space="preserve"> </w:t>
      </w:r>
    </w:p>
    <w:p w:rsidR="00692868" w:rsidRPr="00EB52C2" w:rsidRDefault="00EB52C2" w:rsidP="00EB52C2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jsou </w:t>
      </w:r>
      <w:r w:rsidRPr="00392577">
        <w:rPr>
          <w:rFonts w:ascii="Arial" w:hAnsi="Arial" w:cs="Arial"/>
          <w:sz w:val="20"/>
          <w:szCs w:val="20"/>
        </w:rPr>
        <w:t>vymezeny v</w:t>
      </w:r>
      <w:r w:rsidR="00702C7A">
        <w:rPr>
          <w:rFonts w:ascii="Arial" w:hAnsi="Arial" w:cs="Arial"/>
          <w:sz w:val="20"/>
          <w:szCs w:val="20"/>
        </w:rPr>
        <w:t> příloze</w:t>
      </w:r>
      <w:r w:rsidRPr="00392577">
        <w:rPr>
          <w:rFonts w:ascii="Arial" w:hAnsi="Arial" w:cs="Arial"/>
          <w:sz w:val="20"/>
          <w:szCs w:val="20"/>
        </w:rPr>
        <w:t xml:space="preserve"> tohoto nařízení</w:t>
      </w:r>
      <w:r>
        <w:rPr>
          <w:rFonts w:ascii="Arial" w:hAnsi="Arial" w:cs="Arial"/>
          <w:sz w:val="20"/>
          <w:szCs w:val="20"/>
        </w:rPr>
        <w:t xml:space="preserve">. </w:t>
      </w:r>
    </w:p>
    <w:p w:rsidR="00692868" w:rsidRPr="00392577" w:rsidRDefault="00692868" w:rsidP="00692868">
      <w:pPr>
        <w:tabs>
          <w:tab w:val="left" w:pos="6480"/>
        </w:tabs>
        <w:jc w:val="center"/>
        <w:rPr>
          <w:rFonts w:ascii="Arial" w:hAnsi="Arial" w:cs="Arial"/>
          <w:sz w:val="20"/>
          <w:szCs w:val="20"/>
        </w:rPr>
      </w:pPr>
    </w:p>
    <w:p w:rsidR="00692868" w:rsidRPr="00392577" w:rsidRDefault="00692868" w:rsidP="00692868">
      <w:pPr>
        <w:tabs>
          <w:tab w:val="left" w:pos="6480"/>
        </w:tabs>
        <w:jc w:val="center"/>
        <w:rPr>
          <w:rFonts w:ascii="Arial" w:hAnsi="Arial" w:cs="Arial"/>
          <w:sz w:val="20"/>
          <w:szCs w:val="20"/>
        </w:rPr>
      </w:pPr>
    </w:p>
    <w:p w:rsidR="00692868" w:rsidRPr="00392577" w:rsidRDefault="00B414FF" w:rsidP="00692868">
      <w:pPr>
        <w:tabs>
          <w:tab w:val="left" w:pos="648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2</w:t>
      </w:r>
      <w:r>
        <w:rPr>
          <w:rFonts w:ascii="Arial" w:hAnsi="Arial" w:cs="Arial"/>
          <w:b/>
          <w:sz w:val="20"/>
          <w:szCs w:val="20"/>
        </w:rPr>
        <w:br/>
        <w:t>Způsob placení sjednané ceny</w:t>
      </w:r>
    </w:p>
    <w:p w:rsidR="00C86CC2" w:rsidRPr="00392577" w:rsidRDefault="00692868" w:rsidP="00C86CC2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  <w:r w:rsidRPr="00392577">
        <w:rPr>
          <w:rFonts w:ascii="Arial" w:hAnsi="Arial" w:cs="Arial"/>
          <w:b/>
          <w:sz w:val="20"/>
          <w:szCs w:val="20"/>
        </w:rPr>
        <w:br/>
      </w:r>
      <w:r w:rsidR="00C86CC2" w:rsidRPr="00392577">
        <w:rPr>
          <w:rFonts w:ascii="Arial" w:hAnsi="Arial" w:cs="Arial"/>
          <w:sz w:val="20"/>
          <w:szCs w:val="20"/>
        </w:rPr>
        <w:t>Sjednaná cena se platí</w:t>
      </w:r>
      <w:r w:rsidR="00623B14">
        <w:rPr>
          <w:rFonts w:ascii="Arial" w:hAnsi="Arial" w:cs="Arial"/>
          <w:sz w:val="20"/>
          <w:szCs w:val="20"/>
        </w:rPr>
        <w:t>:</w:t>
      </w:r>
    </w:p>
    <w:p w:rsidR="004118E0" w:rsidRPr="00392577" w:rsidRDefault="004118E0" w:rsidP="008443FA">
      <w:pPr>
        <w:numPr>
          <w:ilvl w:val="0"/>
          <w:numId w:val="9"/>
        </w:numPr>
        <w:tabs>
          <w:tab w:val="clear" w:pos="1080"/>
          <w:tab w:val="num" w:pos="567"/>
          <w:tab w:val="left" w:pos="6480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392577">
        <w:rPr>
          <w:rFonts w:ascii="Arial" w:hAnsi="Arial" w:cs="Arial"/>
          <w:sz w:val="20"/>
          <w:szCs w:val="20"/>
        </w:rPr>
        <w:t xml:space="preserve">prostřednictvím </w:t>
      </w:r>
      <w:r w:rsidR="00A36052">
        <w:rPr>
          <w:rFonts w:ascii="Arial" w:hAnsi="Arial" w:cs="Arial"/>
          <w:sz w:val="20"/>
          <w:szCs w:val="20"/>
        </w:rPr>
        <w:t>platebního terminálu</w:t>
      </w:r>
      <w:r w:rsidRPr="00392577">
        <w:rPr>
          <w:rFonts w:ascii="Arial" w:hAnsi="Arial" w:cs="Arial"/>
          <w:sz w:val="20"/>
          <w:szCs w:val="20"/>
        </w:rPr>
        <w:t xml:space="preserve"> umístěného </w:t>
      </w:r>
      <w:r w:rsidR="00EC26BF">
        <w:rPr>
          <w:rFonts w:ascii="Arial" w:hAnsi="Arial" w:cs="Arial"/>
          <w:sz w:val="20"/>
          <w:szCs w:val="20"/>
        </w:rPr>
        <w:t>u příslušné</w:t>
      </w:r>
      <w:r w:rsidR="00031EFD">
        <w:rPr>
          <w:rFonts w:ascii="Arial" w:hAnsi="Arial" w:cs="Arial"/>
          <w:sz w:val="20"/>
          <w:szCs w:val="20"/>
        </w:rPr>
        <w:t>ho určeného úseku</w:t>
      </w:r>
      <w:r w:rsidR="00C046F5">
        <w:rPr>
          <w:rFonts w:ascii="Arial" w:hAnsi="Arial" w:cs="Arial"/>
          <w:sz w:val="20"/>
          <w:szCs w:val="20"/>
        </w:rPr>
        <w:t xml:space="preserve"> </w:t>
      </w:r>
      <w:r w:rsidR="00EC26BF">
        <w:rPr>
          <w:rFonts w:ascii="Arial" w:hAnsi="Arial" w:cs="Arial"/>
          <w:sz w:val="20"/>
          <w:szCs w:val="20"/>
        </w:rPr>
        <w:t xml:space="preserve">komunikace </w:t>
      </w:r>
      <w:r w:rsidRPr="00392577">
        <w:rPr>
          <w:rFonts w:ascii="Arial" w:hAnsi="Arial" w:cs="Arial"/>
          <w:sz w:val="20"/>
          <w:szCs w:val="20"/>
        </w:rPr>
        <w:t>(dále jen „</w:t>
      </w:r>
      <w:r w:rsidR="006C4DB3">
        <w:rPr>
          <w:rFonts w:ascii="Arial" w:hAnsi="Arial" w:cs="Arial"/>
          <w:sz w:val="20"/>
          <w:szCs w:val="20"/>
        </w:rPr>
        <w:t>platební terminál</w:t>
      </w:r>
      <w:r w:rsidRPr="00392577">
        <w:rPr>
          <w:rFonts w:ascii="Arial" w:hAnsi="Arial" w:cs="Arial"/>
          <w:sz w:val="20"/>
          <w:szCs w:val="20"/>
        </w:rPr>
        <w:t>“),</w:t>
      </w:r>
    </w:p>
    <w:p w:rsidR="004118E0" w:rsidRPr="00392577" w:rsidRDefault="004118E0" w:rsidP="008443FA">
      <w:pPr>
        <w:numPr>
          <w:ilvl w:val="0"/>
          <w:numId w:val="9"/>
        </w:numPr>
        <w:tabs>
          <w:tab w:val="clear" w:pos="1080"/>
          <w:tab w:val="num" w:pos="567"/>
          <w:tab w:val="left" w:pos="6480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392577">
        <w:rPr>
          <w:rFonts w:ascii="Arial" w:hAnsi="Arial" w:cs="Arial"/>
          <w:sz w:val="20"/>
          <w:szCs w:val="20"/>
        </w:rPr>
        <w:t>prostřednictvím elektronické platební aplikace</w:t>
      </w:r>
      <w:r w:rsidR="009D6FF2">
        <w:rPr>
          <w:rFonts w:ascii="Arial" w:hAnsi="Arial" w:cs="Arial"/>
          <w:sz w:val="20"/>
          <w:szCs w:val="20"/>
        </w:rPr>
        <w:t xml:space="preserve"> (dále jen „platební aplikace“)</w:t>
      </w:r>
      <w:r>
        <w:rPr>
          <w:rFonts w:ascii="Arial" w:hAnsi="Arial" w:cs="Arial"/>
          <w:sz w:val="20"/>
          <w:szCs w:val="20"/>
        </w:rPr>
        <w:t>,</w:t>
      </w:r>
      <w:r w:rsidRPr="00392577">
        <w:rPr>
          <w:rFonts w:ascii="Arial" w:hAnsi="Arial" w:cs="Arial"/>
          <w:sz w:val="20"/>
          <w:szCs w:val="20"/>
        </w:rPr>
        <w:t xml:space="preserve"> </w:t>
      </w:r>
    </w:p>
    <w:p w:rsidR="004118E0" w:rsidRDefault="004118E0" w:rsidP="008443FA">
      <w:pPr>
        <w:numPr>
          <w:ilvl w:val="0"/>
          <w:numId w:val="9"/>
        </w:numPr>
        <w:tabs>
          <w:tab w:val="clear" w:pos="1080"/>
          <w:tab w:val="num" w:pos="567"/>
          <w:tab w:val="left" w:pos="6480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392577">
        <w:rPr>
          <w:rFonts w:ascii="Arial" w:hAnsi="Arial" w:cs="Arial"/>
          <w:sz w:val="20"/>
          <w:szCs w:val="20"/>
        </w:rPr>
        <w:t>osobě pověřené k výběru plateb předem</w:t>
      </w:r>
      <w:r>
        <w:rPr>
          <w:rFonts w:ascii="Arial" w:hAnsi="Arial" w:cs="Arial"/>
          <w:sz w:val="20"/>
          <w:szCs w:val="20"/>
        </w:rPr>
        <w:t xml:space="preserve"> formou </w:t>
      </w:r>
      <w:r w:rsidRPr="00392577">
        <w:rPr>
          <w:rFonts w:ascii="Arial" w:hAnsi="Arial" w:cs="Arial"/>
          <w:sz w:val="20"/>
          <w:szCs w:val="20"/>
        </w:rPr>
        <w:t>zakoupení listinné či elektronické parkovací karty</w:t>
      </w:r>
      <w:r w:rsidR="00EC26BF">
        <w:rPr>
          <w:rFonts w:ascii="Arial" w:hAnsi="Arial" w:cs="Arial"/>
          <w:sz w:val="20"/>
          <w:szCs w:val="20"/>
        </w:rPr>
        <w:t xml:space="preserve">, pokud </w:t>
      </w:r>
      <w:r>
        <w:rPr>
          <w:rFonts w:ascii="Arial" w:hAnsi="Arial" w:cs="Arial"/>
          <w:sz w:val="20"/>
          <w:szCs w:val="20"/>
        </w:rPr>
        <w:t>je tento způsob platby v konkrétním případě umožněn</w:t>
      </w:r>
      <w:r w:rsidRPr="00392577">
        <w:rPr>
          <w:rFonts w:ascii="Arial" w:hAnsi="Arial" w:cs="Arial"/>
          <w:sz w:val="20"/>
          <w:szCs w:val="20"/>
        </w:rPr>
        <w:t>,</w:t>
      </w:r>
      <w:r w:rsidR="006C4DB3">
        <w:rPr>
          <w:rFonts w:ascii="Arial" w:hAnsi="Arial" w:cs="Arial"/>
          <w:sz w:val="20"/>
          <w:szCs w:val="20"/>
        </w:rPr>
        <w:t xml:space="preserve"> nebo</w:t>
      </w:r>
    </w:p>
    <w:p w:rsidR="00C86CC2" w:rsidRPr="00A36052" w:rsidRDefault="00C86CC2" w:rsidP="008443FA">
      <w:pPr>
        <w:numPr>
          <w:ilvl w:val="0"/>
          <w:numId w:val="9"/>
        </w:numPr>
        <w:tabs>
          <w:tab w:val="clear" w:pos="1080"/>
          <w:tab w:val="num" w:pos="567"/>
          <w:tab w:val="left" w:pos="6480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392577">
        <w:rPr>
          <w:rFonts w:ascii="Arial" w:hAnsi="Arial" w:cs="Arial"/>
          <w:sz w:val="20"/>
          <w:szCs w:val="20"/>
        </w:rPr>
        <w:t xml:space="preserve">osobě pověřené k výběru plateb </w:t>
      </w:r>
      <w:r w:rsidR="00CA147C">
        <w:rPr>
          <w:rFonts w:ascii="Arial" w:hAnsi="Arial" w:cs="Arial"/>
          <w:sz w:val="20"/>
          <w:szCs w:val="20"/>
        </w:rPr>
        <w:t>přímo v místě</w:t>
      </w:r>
      <w:r w:rsidR="00031EFD">
        <w:rPr>
          <w:rFonts w:ascii="Arial" w:hAnsi="Arial" w:cs="Arial"/>
          <w:sz w:val="20"/>
          <w:szCs w:val="20"/>
        </w:rPr>
        <w:t xml:space="preserve"> příslušného určeného úseku </w:t>
      </w:r>
      <w:r w:rsidR="00E31FDA" w:rsidRPr="00A36052">
        <w:rPr>
          <w:rFonts w:ascii="Arial" w:hAnsi="Arial" w:cs="Arial"/>
          <w:sz w:val="20"/>
          <w:szCs w:val="20"/>
        </w:rPr>
        <w:t xml:space="preserve">komunikace, </w:t>
      </w:r>
      <w:r w:rsidR="00790B7F" w:rsidRPr="00A36052">
        <w:rPr>
          <w:rFonts w:ascii="Arial" w:hAnsi="Arial" w:cs="Arial"/>
          <w:sz w:val="20"/>
          <w:szCs w:val="20"/>
        </w:rPr>
        <w:t>pokud je tento způsob platby v konkrétním případě umožněn</w:t>
      </w:r>
      <w:r w:rsidR="004118E0" w:rsidRPr="00A36052">
        <w:rPr>
          <w:rFonts w:ascii="Arial" w:hAnsi="Arial" w:cs="Arial"/>
          <w:sz w:val="20"/>
          <w:szCs w:val="20"/>
        </w:rPr>
        <w:t>.</w:t>
      </w:r>
    </w:p>
    <w:p w:rsidR="006F153B" w:rsidRDefault="006F153B" w:rsidP="006F153B">
      <w:pPr>
        <w:tabs>
          <w:tab w:val="left" w:pos="6480"/>
        </w:tabs>
        <w:jc w:val="center"/>
        <w:rPr>
          <w:rFonts w:ascii="Arial" w:hAnsi="Arial" w:cs="Arial"/>
          <w:sz w:val="20"/>
          <w:szCs w:val="20"/>
        </w:rPr>
      </w:pPr>
    </w:p>
    <w:p w:rsidR="006F153B" w:rsidRDefault="006F153B" w:rsidP="006F153B">
      <w:pPr>
        <w:tabs>
          <w:tab w:val="left" w:pos="6480"/>
        </w:tabs>
        <w:jc w:val="center"/>
        <w:rPr>
          <w:rFonts w:ascii="Arial" w:hAnsi="Arial" w:cs="Arial"/>
          <w:sz w:val="20"/>
          <w:szCs w:val="20"/>
        </w:rPr>
      </w:pPr>
    </w:p>
    <w:p w:rsidR="006F153B" w:rsidRDefault="006F153B" w:rsidP="006F153B">
      <w:pPr>
        <w:tabs>
          <w:tab w:val="left" w:pos="648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3</w:t>
      </w:r>
      <w:r>
        <w:rPr>
          <w:rFonts w:ascii="Arial" w:hAnsi="Arial" w:cs="Arial"/>
          <w:b/>
          <w:sz w:val="20"/>
          <w:szCs w:val="20"/>
        </w:rPr>
        <w:br/>
        <w:t>Způsob prokazování zaplacení sjednané ceny</w:t>
      </w:r>
    </w:p>
    <w:p w:rsidR="006F153B" w:rsidRDefault="006F153B" w:rsidP="00C86CC2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</w:p>
    <w:p w:rsidR="00C86CC2" w:rsidRPr="00392577" w:rsidRDefault="00C86CC2" w:rsidP="002F07F0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392577">
        <w:rPr>
          <w:rFonts w:ascii="Arial" w:hAnsi="Arial" w:cs="Arial"/>
          <w:sz w:val="20"/>
          <w:szCs w:val="20"/>
        </w:rPr>
        <w:t>Zaplacení sjednané ceny se prokazuje</w:t>
      </w:r>
      <w:r w:rsidR="00A016B9">
        <w:rPr>
          <w:rFonts w:ascii="Arial" w:hAnsi="Arial" w:cs="Arial"/>
          <w:sz w:val="20"/>
          <w:szCs w:val="20"/>
        </w:rPr>
        <w:t>:</w:t>
      </w:r>
    </w:p>
    <w:p w:rsidR="006C4DB3" w:rsidRPr="00392577" w:rsidRDefault="006C4DB3" w:rsidP="008443FA">
      <w:pPr>
        <w:numPr>
          <w:ilvl w:val="0"/>
          <w:numId w:val="8"/>
        </w:numPr>
        <w:tabs>
          <w:tab w:val="clear" w:pos="1080"/>
          <w:tab w:val="left" w:pos="567"/>
          <w:tab w:val="left" w:pos="6480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392577">
        <w:rPr>
          <w:rFonts w:ascii="Arial" w:hAnsi="Arial" w:cs="Arial"/>
          <w:sz w:val="20"/>
          <w:szCs w:val="20"/>
        </w:rPr>
        <w:t xml:space="preserve">v případě platby prostřednictvím </w:t>
      </w:r>
      <w:r w:rsidR="009D6FF2">
        <w:rPr>
          <w:rFonts w:ascii="Arial" w:hAnsi="Arial" w:cs="Arial"/>
          <w:sz w:val="20"/>
          <w:szCs w:val="20"/>
        </w:rPr>
        <w:t>platebního terminálu, platební aplikace</w:t>
      </w:r>
      <w:r w:rsidRPr="00392577">
        <w:rPr>
          <w:rFonts w:ascii="Arial" w:hAnsi="Arial" w:cs="Arial"/>
          <w:sz w:val="20"/>
          <w:szCs w:val="20"/>
        </w:rPr>
        <w:t xml:space="preserve"> </w:t>
      </w:r>
      <w:r w:rsidR="009D6FF2">
        <w:rPr>
          <w:rFonts w:ascii="Arial" w:hAnsi="Arial" w:cs="Arial"/>
          <w:sz w:val="20"/>
          <w:szCs w:val="20"/>
        </w:rPr>
        <w:t xml:space="preserve">nebo listinné či elektronické parkovací karty </w:t>
      </w:r>
      <w:r w:rsidRPr="00392577">
        <w:rPr>
          <w:rFonts w:ascii="Arial" w:hAnsi="Arial" w:cs="Arial"/>
          <w:sz w:val="20"/>
          <w:szCs w:val="20"/>
        </w:rPr>
        <w:t>automatizovaným zaevidováním údajů o platbě do elektronic</w:t>
      </w:r>
      <w:r w:rsidR="009D6FF2">
        <w:rPr>
          <w:rFonts w:ascii="Arial" w:hAnsi="Arial" w:cs="Arial"/>
          <w:sz w:val="20"/>
          <w:szCs w:val="20"/>
        </w:rPr>
        <w:t>ké databáze parkovacího systému,</w:t>
      </w:r>
    </w:p>
    <w:p w:rsidR="00C86CC2" w:rsidRPr="00A016B9" w:rsidRDefault="00C86CC2" w:rsidP="008443FA">
      <w:pPr>
        <w:numPr>
          <w:ilvl w:val="0"/>
          <w:numId w:val="8"/>
        </w:numPr>
        <w:tabs>
          <w:tab w:val="clear" w:pos="1080"/>
          <w:tab w:val="left" w:pos="567"/>
          <w:tab w:val="left" w:pos="6480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392577">
        <w:rPr>
          <w:rFonts w:ascii="Arial" w:hAnsi="Arial" w:cs="Arial"/>
          <w:sz w:val="20"/>
          <w:szCs w:val="20"/>
        </w:rPr>
        <w:t xml:space="preserve">v případě platby osobě pověřené k výběru plateb přímo </w:t>
      </w:r>
      <w:r w:rsidR="00CA147C">
        <w:rPr>
          <w:rFonts w:ascii="Arial" w:hAnsi="Arial" w:cs="Arial"/>
          <w:sz w:val="20"/>
          <w:szCs w:val="20"/>
        </w:rPr>
        <w:t>v místě</w:t>
      </w:r>
      <w:r w:rsidR="009D6FF2" w:rsidRPr="00A36052">
        <w:rPr>
          <w:rFonts w:ascii="Arial" w:hAnsi="Arial" w:cs="Arial"/>
          <w:sz w:val="20"/>
          <w:szCs w:val="20"/>
        </w:rPr>
        <w:t xml:space="preserve"> příslušné</w:t>
      </w:r>
      <w:r w:rsidR="00031EFD">
        <w:rPr>
          <w:rFonts w:ascii="Arial" w:hAnsi="Arial" w:cs="Arial"/>
          <w:sz w:val="20"/>
          <w:szCs w:val="20"/>
        </w:rPr>
        <w:t>ho určeného úseku</w:t>
      </w:r>
      <w:r w:rsidR="009D6FF2" w:rsidRPr="00A36052">
        <w:rPr>
          <w:rFonts w:ascii="Arial" w:hAnsi="Arial" w:cs="Arial"/>
          <w:sz w:val="20"/>
          <w:szCs w:val="20"/>
        </w:rPr>
        <w:t xml:space="preserve"> </w:t>
      </w:r>
      <w:r w:rsidR="00CA147C">
        <w:rPr>
          <w:rFonts w:ascii="Arial" w:hAnsi="Arial" w:cs="Arial"/>
          <w:sz w:val="20"/>
          <w:szCs w:val="20"/>
        </w:rPr>
        <w:t xml:space="preserve">komunikace </w:t>
      </w:r>
      <w:r w:rsidRPr="00392577">
        <w:rPr>
          <w:rFonts w:ascii="Arial" w:hAnsi="Arial" w:cs="Arial"/>
          <w:sz w:val="20"/>
          <w:szCs w:val="20"/>
        </w:rPr>
        <w:t>dokladem o zaplacení sjednané ceny, který musí být po celou dobu stání vozidla</w:t>
      </w:r>
      <w:r w:rsidR="00676341">
        <w:rPr>
          <w:rFonts w:ascii="Arial" w:hAnsi="Arial" w:cs="Arial"/>
          <w:sz w:val="20"/>
          <w:szCs w:val="20"/>
        </w:rPr>
        <w:t xml:space="preserve"> na</w:t>
      </w:r>
      <w:r w:rsidR="00031EFD">
        <w:rPr>
          <w:rFonts w:ascii="Arial" w:hAnsi="Arial" w:cs="Arial"/>
          <w:sz w:val="20"/>
          <w:szCs w:val="20"/>
        </w:rPr>
        <w:t xml:space="preserve"> příslušném</w:t>
      </w:r>
      <w:r w:rsidR="00676341">
        <w:rPr>
          <w:rFonts w:ascii="Arial" w:hAnsi="Arial" w:cs="Arial"/>
          <w:sz w:val="20"/>
          <w:szCs w:val="20"/>
        </w:rPr>
        <w:t xml:space="preserve"> </w:t>
      </w:r>
      <w:r w:rsidR="00031EFD">
        <w:rPr>
          <w:rFonts w:ascii="Arial" w:hAnsi="Arial" w:cs="Arial"/>
          <w:sz w:val="20"/>
          <w:szCs w:val="20"/>
        </w:rPr>
        <w:t>určeném úseku komunikace</w:t>
      </w:r>
      <w:r w:rsidRPr="00392577">
        <w:rPr>
          <w:rFonts w:ascii="Arial" w:hAnsi="Arial" w:cs="Arial"/>
          <w:sz w:val="20"/>
          <w:szCs w:val="20"/>
        </w:rPr>
        <w:t xml:space="preserve"> umístěn ve vozidle na viditelném místě</w:t>
      </w:r>
      <w:r w:rsidR="008443FA">
        <w:rPr>
          <w:rFonts w:ascii="Arial" w:hAnsi="Arial" w:cs="Arial"/>
          <w:sz w:val="20"/>
          <w:szCs w:val="20"/>
        </w:rPr>
        <w:t xml:space="preserve"> tak, aby bylo možno z vnějšku </w:t>
      </w:r>
      <w:r w:rsidRPr="00392577">
        <w:rPr>
          <w:rFonts w:ascii="Arial" w:hAnsi="Arial" w:cs="Arial"/>
          <w:sz w:val="20"/>
          <w:szCs w:val="20"/>
        </w:rPr>
        <w:t>vizuálně zkontrolovat údaje uvedené na tomto dokladu; u vozidel, která nemají střechu (např. motocykly, kabriolety bez snímatelné střechy), je povinen mít ten</w:t>
      </w:r>
      <w:r w:rsidR="00F90C83">
        <w:rPr>
          <w:rFonts w:ascii="Arial" w:hAnsi="Arial" w:cs="Arial"/>
          <w:sz w:val="20"/>
          <w:szCs w:val="20"/>
        </w:rPr>
        <w:t>to doklad u sebe řidič vozidla.</w:t>
      </w:r>
    </w:p>
    <w:p w:rsidR="00C86CC2" w:rsidRPr="00392577" w:rsidRDefault="002F07F0" w:rsidP="002F07F0">
      <w:p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C86CC2" w:rsidRPr="00392577">
        <w:rPr>
          <w:rFonts w:ascii="Arial" w:hAnsi="Arial" w:cs="Arial"/>
          <w:sz w:val="20"/>
          <w:szCs w:val="20"/>
        </w:rPr>
        <w:t>ok</w:t>
      </w:r>
      <w:r w:rsidR="00F90C83">
        <w:rPr>
          <w:rFonts w:ascii="Arial" w:hAnsi="Arial" w:cs="Arial"/>
          <w:sz w:val="20"/>
          <w:szCs w:val="20"/>
        </w:rPr>
        <w:t xml:space="preserve">lad o zaplacení sjednané ceny dle </w:t>
      </w:r>
      <w:r w:rsidR="00C86CC2" w:rsidRPr="00392577">
        <w:rPr>
          <w:rFonts w:ascii="Arial" w:hAnsi="Arial" w:cs="Arial"/>
          <w:sz w:val="20"/>
          <w:szCs w:val="20"/>
        </w:rPr>
        <w:t>písm.</w:t>
      </w:r>
      <w:r w:rsidR="008443FA">
        <w:rPr>
          <w:rFonts w:ascii="Arial" w:hAnsi="Arial" w:cs="Arial"/>
          <w:sz w:val="20"/>
          <w:szCs w:val="20"/>
        </w:rPr>
        <w:t xml:space="preserve"> b)</w:t>
      </w:r>
      <w:r w:rsidR="00C86CC2" w:rsidRPr="00392577">
        <w:rPr>
          <w:rFonts w:ascii="Arial" w:hAnsi="Arial" w:cs="Arial"/>
          <w:sz w:val="20"/>
          <w:szCs w:val="20"/>
        </w:rPr>
        <w:t xml:space="preserve"> je povinen řidič užívající ke stání vozidla </w:t>
      </w:r>
      <w:r w:rsidR="003C4103">
        <w:rPr>
          <w:rFonts w:ascii="Arial" w:hAnsi="Arial" w:cs="Arial"/>
          <w:sz w:val="20"/>
          <w:szCs w:val="20"/>
        </w:rPr>
        <w:t xml:space="preserve">příslušný </w:t>
      </w:r>
      <w:r w:rsidR="00031EFD">
        <w:rPr>
          <w:rFonts w:ascii="Arial" w:hAnsi="Arial" w:cs="Arial"/>
          <w:sz w:val="20"/>
          <w:szCs w:val="20"/>
        </w:rPr>
        <w:t>určený úsek komunikace</w:t>
      </w:r>
      <w:r w:rsidR="008443FA">
        <w:rPr>
          <w:rFonts w:ascii="Arial" w:hAnsi="Arial" w:cs="Arial"/>
          <w:sz w:val="20"/>
          <w:szCs w:val="20"/>
        </w:rPr>
        <w:t xml:space="preserve"> </w:t>
      </w:r>
      <w:r w:rsidR="00C86CC2" w:rsidRPr="00392577">
        <w:rPr>
          <w:rFonts w:ascii="Arial" w:hAnsi="Arial" w:cs="Arial"/>
          <w:sz w:val="20"/>
          <w:szCs w:val="20"/>
        </w:rPr>
        <w:t xml:space="preserve">předložit na vyžádání </w:t>
      </w:r>
      <w:r w:rsidR="00676341">
        <w:rPr>
          <w:rFonts w:ascii="Arial" w:hAnsi="Arial" w:cs="Arial"/>
          <w:sz w:val="20"/>
          <w:szCs w:val="20"/>
        </w:rPr>
        <w:t xml:space="preserve">ke kontrole </w:t>
      </w:r>
      <w:r w:rsidR="00C86CC2" w:rsidRPr="00392577">
        <w:rPr>
          <w:rFonts w:ascii="Arial" w:hAnsi="Arial" w:cs="Arial"/>
          <w:sz w:val="20"/>
          <w:szCs w:val="20"/>
        </w:rPr>
        <w:t>strážníkovi Městské police Zlín nebo osobě pověřené kontrolou úhrady plateb sjednané ceny.</w:t>
      </w:r>
    </w:p>
    <w:p w:rsidR="004312F1" w:rsidRDefault="004312F1" w:rsidP="0032212B">
      <w:pPr>
        <w:tabs>
          <w:tab w:val="left" w:pos="6480"/>
        </w:tabs>
        <w:jc w:val="center"/>
        <w:rPr>
          <w:rFonts w:ascii="Arial" w:hAnsi="Arial" w:cs="Arial"/>
          <w:b/>
          <w:sz w:val="20"/>
          <w:szCs w:val="20"/>
        </w:rPr>
      </w:pPr>
    </w:p>
    <w:p w:rsidR="004F27A4" w:rsidRPr="00392577" w:rsidRDefault="004F27A4" w:rsidP="0032212B">
      <w:pPr>
        <w:tabs>
          <w:tab w:val="left" w:pos="6480"/>
        </w:tabs>
        <w:jc w:val="center"/>
        <w:rPr>
          <w:rFonts w:ascii="Arial" w:hAnsi="Arial" w:cs="Arial"/>
          <w:b/>
          <w:sz w:val="20"/>
          <w:szCs w:val="20"/>
        </w:rPr>
      </w:pPr>
    </w:p>
    <w:p w:rsidR="006A63A3" w:rsidRPr="00392577" w:rsidRDefault="004312F1" w:rsidP="0032212B">
      <w:pPr>
        <w:tabs>
          <w:tab w:val="left" w:pos="6480"/>
        </w:tabs>
        <w:jc w:val="center"/>
        <w:rPr>
          <w:rFonts w:ascii="Arial" w:hAnsi="Arial" w:cs="Arial"/>
          <w:b/>
          <w:sz w:val="20"/>
          <w:szCs w:val="20"/>
        </w:rPr>
      </w:pPr>
      <w:r w:rsidRPr="00392577">
        <w:rPr>
          <w:rFonts w:ascii="Arial" w:hAnsi="Arial" w:cs="Arial"/>
          <w:b/>
          <w:sz w:val="20"/>
          <w:szCs w:val="20"/>
        </w:rPr>
        <w:t>Článek 4</w:t>
      </w:r>
    </w:p>
    <w:p w:rsidR="006A63A3" w:rsidRPr="00392577" w:rsidRDefault="004F27A4" w:rsidP="0032212B">
      <w:pPr>
        <w:tabs>
          <w:tab w:val="left" w:pos="648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Zrušovací</w:t>
      </w:r>
      <w:r w:rsidR="001E07BE" w:rsidRPr="00392577">
        <w:rPr>
          <w:rFonts w:ascii="Arial" w:hAnsi="Arial" w:cs="Arial"/>
          <w:b/>
          <w:sz w:val="20"/>
          <w:szCs w:val="20"/>
        </w:rPr>
        <w:t xml:space="preserve"> ustanovení</w:t>
      </w:r>
    </w:p>
    <w:p w:rsidR="0098763C" w:rsidRDefault="0032212B" w:rsidP="0098763C">
      <w:pPr>
        <w:jc w:val="both"/>
        <w:rPr>
          <w:rFonts w:ascii="Arial" w:hAnsi="Arial" w:cs="Arial"/>
          <w:iCs/>
          <w:sz w:val="20"/>
          <w:szCs w:val="20"/>
        </w:rPr>
      </w:pPr>
      <w:r w:rsidRPr="00392577">
        <w:rPr>
          <w:rFonts w:ascii="Arial" w:hAnsi="Arial" w:cs="Arial"/>
          <w:sz w:val="20"/>
          <w:szCs w:val="20"/>
        </w:rPr>
        <w:br/>
      </w:r>
      <w:r w:rsidR="0098763C">
        <w:rPr>
          <w:rFonts w:ascii="Arial" w:hAnsi="Arial" w:cs="Arial"/>
          <w:iCs/>
          <w:sz w:val="20"/>
          <w:szCs w:val="20"/>
        </w:rPr>
        <w:t>Z</w:t>
      </w:r>
      <w:r w:rsidR="0098763C" w:rsidRPr="00396C91">
        <w:rPr>
          <w:rFonts w:ascii="Arial" w:hAnsi="Arial" w:cs="Arial"/>
          <w:iCs/>
          <w:sz w:val="20"/>
          <w:szCs w:val="20"/>
        </w:rPr>
        <w:t xml:space="preserve">rušuje </w:t>
      </w:r>
      <w:r w:rsidR="0098763C">
        <w:rPr>
          <w:rFonts w:ascii="Arial" w:hAnsi="Arial" w:cs="Arial"/>
          <w:iCs/>
          <w:sz w:val="20"/>
          <w:szCs w:val="20"/>
        </w:rPr>
        <w:t>se:</w:t>
      </w:r>
    </w:p>
    <w:p w:rsidR="004F27A4" w:rsidRDefault="0098763C" w:rsidP="0098763C">
      <w:pPr>
        <w:numPr>
          <w:ilvl w:val="0"/>
          <w:numId w:val="14"/>
        </w:numPr>
        <w:tabs>
          <w:tab w:val="clear" w:pos="1440"/>
        </w:tabs>
        <w:ind w:left="709" w:hanging="283"/>
        <w:jc w:val="both"/>
        <w:rPr>
          <w:rFonts w:ascii="Arial" w:hAnsi="Arial" w:cs="Arial"/>
          <w:iCs/>
          <w:sz w:val="20"/>
          <w:szCs w:val="20"/>
        </w:rPr>
      </w:pPr>
      <w:r w:rsidRPr="0098763C">
        <w:rPr>
          <w:rFonts w:ascii="Arial" w:hAnsi="Arial" w:cs="Arial"/>
          <w:iCs/>
          <w:sz w:val="20"/>
          <w:szCs w:val="20"/>
        </w:rPr>
        <w:t>Nařízení statutárního města Zlína č. 4/2013 o stání vozidel ve městě</w:t>
      </w:r>
      <w:r>
        <w:rPr>
          <w:rFonts w:ascii="Arial" w:hAnsi="Arial" w:cs="Arial"/>
          <w:iCs/>
          <w:sz w:val="20"/>
          <w:szCs w:val="20"/>
        </w:rPr>
        <w:t>.</w:t>
      </w:r>
    </w:p>
    <w:p w:rsidR="0098763C" w:rsidRPr="0098763C" w:rsidRDefault="0098763C" w:rsidP="0098763C">
      <w:pPr>
        <w:numPr>
          <w:ilvl w:val="0"/>
          <w:numId w:val="14"/>
        </w:numPr>
        <w:tabs>
          <w:tab w:val="clear" w:pos="1440"/>
        </w:tabs>
        <w:ind w:left="709" w:hanging="283"/>
        <w:jc w:val="both"/>
        <w:rPr>
          <w:rFonts w:ascii="Arial" w:hAnsi="Arial" w:cs="Arial"/>
          <w:iCs/>
          <w:sz w:val="20"/>
          <w:szCs w:val="20"/>
        </w:rPr>
      </w:pPr>
      <w:r w:rsidRPr="0098763C">
        <w:rPr>
          <w:rFonts w:ascii="Arial" w:hAnsi="Arial" w:cs="Arial"/>
          <w:iCs/>
          <w:sz w:val="20"/>
          <w:szCs w:val="20"/>
        </w:rPr>
        <w:t>Nařízení statutárního města Zlína č. 9/2021, kterým se mění nařízení č. 4/2013 o stání vozidel ve městě</w:t>
      </w:r>
      <w:r>
        <w:rPr>
          <w:rFonts w:ascii="Arial" w:hAnsi="Arial" w:cs="Arial"/>
          <w:iCs/>
          <w:sz w:val="20"/>
          <w:szCs w:val="20"/>
        </w:rPr>
        <w:t>.</w:t>
      </w:r>
    </w:p>
    <w:p w:rsidR="0098763C" w:rsidRPr="0098763C" w:rsidRDefault="0098763C" w:rsidP="0098763C">
      <w:pPr>
        <w:jc w:val="both"/>
        <w:rPr>
          <w:rFonts w:ascii="Arial" w:hAnsi="Arial" w:cs="Arial"/>
          <w:iCs/>
          <w:sz w:val="20"/>
          <w:szCs w:val="20"/>
        </w:rPr>
      </w:pPr>
    </w:p>
    <w:p w:rsidR="004F27A4" w:rsidRDefault="004F27A4" w:rsidP="00554DF2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4F27A4" w:rsidRPr="00392577" w:rsidRDefault="004F27A4" w:rsidP="004F27A4">
      <w:pPr>
        <w:tabs>
          <w:tab w:val="left" w:pos="6480"/>
        </w:tabs>
        <w:jc w:val="center"/>
        <w:rPr>
          <w:rFonts w:ascii="Arial" w:hAnsi="Arial" w:cs="Arial"/>
          <w:b/>
          <w:sz w:val="20"/>
          <w:szCs w:val="20"/>
        </w:rPr>
      </w:pPr>
      <w:r w:rsidRPr="00392577">
        <w:rPr>
          <w:rFonts w:ascii="Arial" w:hAnsi="Arial" w:cs="Arial"/>
          <w:b/>
          <w:sz w:val="20"/>
          <w:szCs w:val="20"/>
        </w:rPr>
        <w:t xml:space="preserve">Článek </w:t>
      </w:r>
      <w:r>
        <w:rPr>
          <w:rFonts w:ascii="Arial" w:hAnsi="Arial" w:cs="Arial"/>
          <w:b/>
          <w:sz w:val="20"/>
          <w:szCs w:val="20"/>
        </w:rPr>
        <w:t>5</w:t>
      </w:r>
    </w:p>
    <w:p w:rsidR="004F27A4" w:rsidRPr="00392577" w:rsidRDefault="004F27A4" w:rsidP="004F27A4">
      <w:pPr>
        <w:tabs>
          <w:tab w:val="left" w:pos="648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Účinnost</w:t>
      </w:r>
    </w:p>
    <w:p w:rsidR="004F27A4" w:rsidRDefault="004F27A4" w:rsidP="00554DF2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54DF2" w:rsidRPr="00392577" w:rsidRDefault="001E07BE" w:rsidP="00554DF2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92577">
        <w:rPr>
          <w:rFonts w:ascii="Arial" w:hAnsi="Arial" w:cs="Arial"/>
          <w:sz w:val="20"/>
          <w:szCs w:val="20"/>
        </w:rPr>
        <w:t xml:space="preserve">Toto nařízení </w:t>
      </w:r>
      <w:r w:rsidR="004F27A4">
        <w:rPr>
          <w:rFonts w:ascii="Arial" w:hAnsi="Arial" w:cs="Arial"/>
          <w:sz w:val="20"/>
          <w:szCs w:val="20"/>
        </w:rPr>
        <w:t xml:space="preserve">nabývá účinnosti patnáctým dne po dni </w:t>
      </w:r>
      <w:r w:rsidR="004F27A4" w:rsidRPr="007D6907">
        <w:rPr>
          <w:rFonts w:ascii="Arial" w:hAnsi="Arial" w:cs="Arial"/>
          <w:sz w:val="20"/>
          <w:szCs w:val="20"/>
        </w:rPr>
        <w:t>jeho vyhlášení</w:t>
      </w:r>
      <w:r w:rsidR="00554DF2" w:rsidRPr="00392577">
        <w:rPr>
          <w:rFonts w:ascii="Arial" w:hAnsi="Arial" w:cs="Arial"/>
          <w:sz w:val="20"/>
          <w:szCs w:val="20"/>
        </w:rPr>
        <w:t xml:space="preserve">. </w:t>
      </w:r>
    </w:p>
    <w:p w:rsidR="00EF499B" w:rsidRPr="00392577" w:rsidRDefault="00EF499B" w:rsidP="0032212B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</w:p>
    <w:p w:rsidR="00BF5C30" w:rsidRDefault="00BF5C30" w:rsidP="0032212B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</w:p>
    <w:p w:rsidR="00F4304C" w:rsidRPr="00392577" w:rsidRDefault="00F4304C" w:rsidP="0032212B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</w:p>
    <w:p w:rsidR="00954DBC" w:rsidRDefault="00954DBC" w:rsidP="0032212B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</w:p>
    <w:p w:rsidR="00F4304C" w:rsidRPr="00392577" w:rsidRDefault="00F4304C" w:rsidP="0032212B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</w:p>
    <w:p w:rsidR="0002415A" w:rsidRDefault="0002415A" w:rsidP="0032212B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</w:p>
    <w:p w:rsidR="005C6D1D" w:rsidRPr="00392577" w:rsidRDefault="00F4304C" w:rsidP="0032212B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Ing. et. Ing. Jiří Korec</w:t>
      </w:r>
      <w:r w:rsidR="00F15160">
        <w:rPr>
          <w:rFonts w:ascii="Arial" w:hAnsi="Arial" w:cs="Arial"/>
          <w:sz w:val="20"/>
          <w:szCs w:val="20"/>
        </w:rPr>
        <w:t xml:space="preserve">  v. r.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Michal Čížek</w:t>
      </w:r>
      <w:r w:rsidR="00F15160">
        <w:rPr>
          <w:rFonts w:ascii="Arial" w:hAnsi="Arial" w:cs="Arial"/>
          <w:sz w:val="20"/>
          <w:szCs w:val="20"/>
        </w:rPr>
        <w:t xml:space="preserve">  v. r.</w:t>
      </w:r>
    </w:p>
    <w:p w:rsidR="00554DF2" w:rsidRPr="0098763C" w:rsidRDefault="00554DF2" w:rsidP="00554DF2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8763C">
        <w:rPr>
          <w:rFonts w:ascii="Arial" w:hAnsi="Arial" w:cs="Arial"/>
          <w:sz w:val="20"/>
          <w:szCs w:val="20"/>
        </w:rPr>
        <w:t xml:space="preserve">      </w:t>
      </w:r>
      <w:r w:rsidR="0098763C">
        <w:rPr>
          <w:rFonts w:ascii="Arial" w:hAnsi="Arial" w:cs="Arial"/>
          <w:sz w:val="20"/>
          <w:szCs w:val="20"/>
        </w:rPr>
        <w:t xml:space="preserve">        </w:t>
      </w:r>
      <w:r w:rsidRPr="0098763C">
        <w:rPr>
          <w:rFonts w:ascii="Arial" w:hAnsi="Arial" w:cs="Arial"/>
          <w:sz w:val="20"/>
          <w:szCs w:val="20"/>
        </w:rPr>
        <w:t xml:space="preserve">   primátor</w:t>
      </w:r>
      <w:r w:rsidR="002B0D84" w:rsidRPr="0098763C">
        <w:rPr>
          <w:rFonts w:ascii="Arial" w:hAnsi="Arial" w:cs="Arial"/>
          <w:sz w:val="20"/>
          <w:szCs w:val="20"/>
        </w:rPr>
        <w:t xml:space="preserve">                             </w:t>
      </w:r>
      <w:r w:rsidR="0098763C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="00F4304C">
        <w:rPr>
          <w:rFonts w:ascii="Arial" w:hAnsi="Arial" w:cs="Arial"/>
          <w:sz w:val="20"/>
          <w:szCs w:val="20"/>
        </w:rPr>
        <w:t xml:space="preserve">  </w:t>
      </w:r>
      <w:r w:rsidR="002B0D84" w:rsidRPr="0098763C">
        <w:rPr>
          <w:rFonts w:ascii="Arial" w:hAnsi="Arial" w:cs="Arial"/>
          <w:sz w:val="20"/>
          <w:szCs w:val="20"/>
        </w:rPr>
        <w:t xml:space="preserve"> </w:t>
      </w:r>
      <w:r w:rsidRPr="0098763C">
        <w:rPr>
          <w:rFonts w:ascii="Arial" w:hAnsi="Arial" w:cs="Arial"/>
          <w:sz w:val="20"/>
          <w:szCs w:val="20"/>
        </w:rPr>
        <w:t>náměstek primátora</w:t>
      </w:r>
    </w:p>
    <w:p w:rsidR="00EF499B" w:rsidRPr="00870629" w:rsidRDefault="00EF499B" w:rsidP="0032212B">
      <w:pPr>
        <w:tabs>
          <w:tab w:val="left" w:pos="1515"/>
        </w:tabs>
        <w:rPr>
          <w:rFonts w:ascii="Arial" w:hAnsi="Arial" w:cs="Arial"/>
          <w:sz w:val="21"/>
          <w:szCs w:val="21"/>
        </w:rPr>
      </w:pPr>
    </w:p>
    <w:p w:rsidR="0002415A" w:rsidRPr="00905DF4" w:rsidRDefault="0002415A" w:rsidP="0032212B">
      <w:pPr>
        <w:tabs>
          <w:tab w:val="left" w:pos="1515"/>
        </w:tabs>
        <w:rPr>
          <w:rFonts w:ascii="Arial" w:hAnsi="Arial" w:cs="Arial"/>
          <w:sz w:val="20"/>
          <w:szCs w:val="20"/>
        </w:rPr>
      </w:pPr>
    </w:p>
    <w:p w:rsidR="00BF5C30" w:rsidRDefault="00BF5C30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E90BC0" w:rsidRDefault="00E90BC0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E90BC0" w:rsidRDefault="00E90BC0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E90BC0" w:rsidRDefault="00E90BC0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AF0F85" w:rsidRDefault="00AF0F85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AF0F85" w:rsidRDefault="00AF0F85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CC2602" w:rsidRPr="00905DF4" w:rsidRDefault="00702C7A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Příloha</w:t>
      </w:r>
      <w:r w:rsidR="00CC2602" w:rsidRPr="00905DF4">
        <w:rPr>
          <w:rFonts w:ascii="Arial" w:hAnsi="Arial" w:cs="Arial"/>
          <w:b/>
          <w:sz w:val="20"/>
          <w:szCs w:val="20"/>
        </w:rPr>
        <w:t xml:space="preserve"> </w:t>
      </w:r>
    </w:p>
    <w:p w:rsidR="00CC2602" w:rsidRPr="00D114C2" w:rsidRDefault="00E90BC0" w:rsidP="00CC2602">
      <w:pPr>
        <w:tabs>
          <w:tab w:val="left" w:pos="648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Vymezení oblastí, ve kterých lze </w:t>
      </w:r>
      <w:r w:rsidR="00031EFD">
        <w:rPr>
          <w:rFonts w:ascii="Arial" w:hAnsi="Arial" w:cs="Arial"/>
          <w:b/>
          <w:sz w:val="20"/>
          <w:szCs w:val="20"/>
        </w:rPr>
        <w:t>určené úseky komunikací</w:t>
      </w:r>
      <w:r>
        <w:rPr>
          <w:rFonts w:ascii="Arial" w:hAnsi="Arial" w:cs="Arial"/>
          <w:b/>
          <w:sz w:val="20"/>
          <w:szCs w:val="20"/>
        </w:rPr>
        <w:t xml:space="preserve"> užít jen za cenu sjednanou v souladu </w:t>
      </w:r>
      <w:r w:rsidRPr="00D114C2">
        <w:rPr>
          <w:rFonts w:ascii="Arial" w:hAnsi="Arial" w:cs="Arial"/>
          <w:b/>
          <w:sz w:val="20"/>
          <w:szCs w:val="20"/>
        </w:rPr>
        <w:t>s cenovými předpisy</w:t>
      </w:r>
    </w:p>
    <w:p w:rsidR="00CC2602" w:rsidRPr="00D114C2" w:rsidRDefault="00CC2602" w:rsidP="00CC2602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</w:p>
    <w:p w:rsidR="007523C3" w:rsidRPr="00D114C2" w:rsidRDefault="00C01DFF" w:rsidP="004D4A41">
      <w:pPr>
        <w:numPr>
          <w:ilvl w:val="0"/>
          <w:numId w:val="6"/>
        </w:numPr>
        <w:tabs>
          <w:tab w:val="clear" w:pos="720"/>
          <w:tab w:val="num" w:pos="360"/>
          <w:tab w:val="left" w:pos="648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114C2">
        <w:rPr>
          <w:rFonts w:ascii="Arial" w:hAnsi="Arial" w:cs="Arial"/>
          <w:sz w:val="20"/>
          <w:szCs w:val="20"/>
        </w:rPr>
        <w:t>Oblast ohraničená ulicemi Št</w:t>
      </w:r>
      <w:r w:rsidR="00CC4589" w:rsidRPr="00D114C2">
        <w:rPr>
          <w:rFonts w:ascii="Arial" w:hAnsi="Arial" w:cs="Arial"/>
          <w:sz w:val="20"/>
          <w:szCs w:val="20"/>
        </w:rPr>
        <w:t xml:space="preserve">efánikova </w:t>
      </w:r>
      <w:r w:rsidR="009A019F" w:rsidRPr="00D114C2">
        <w:rPr>
          <w:rFonts w:ascii="Arial" w:hAnsi="Arial" w:cs="Arial"/>
          <w:sz w:val="20"/>
          <w:szCs w:val="20"/>
        </w:rPr>
        <w:t>(</w:t>
      </w:r>
      <w:r w:rsidR="00CC4589" w:rsidRPr="00D114C2">
        <w:rPr>
          <w:rFonts w:ascii="Arial" w:hAnsi="Arial" w:cs="Arial"/>
          <w:sz w:val="20"/>
          <w:szCs w:val="20"/>
        </w:rPr>
        <w:t>od křižovatk</w:t>
      </w:r>
      <w:r w:rsidRPr="00D114C2">
        <w:rPr>
          <w:rFonts w:ascii="Arial" w:hAnsi="Arial" w:cs="Arial"/>
          <w:sz w:val="20"/>
          <w:szCs w:val="20"/>
        </w:rPr>
        <w:t xml:space="preserve">y </w:t>
      </w:r>
      <w:r w:rsidR="009A019F" w:rsidRPr="00D114C2">
        <w:rPr>
          <w:rFonts w:ascii="Arial" w:hAnsi="Arial" w:cs="Arial"/>
          <w:sz w:val="20"/>
          <w:szCs w:val="20"/>
        </w:rPr>
        <w:t xml:space="preserve">s ulicí </w:t>
      </w:r>
      <w:r w:rsidR="00F71166" w:rsidRPr="00D114C2">
        <w:rPr>
          <w:rFonts w:ascii="Arial" w:hAnsi="Arial" w:cs="Arial"/>
          <w:sz w:val="20"/>
          <w:szCs w:val="20"/>
        </w:rPr>
        <w:t>Široká</w:t>
      </w:r>
      <w:r w:rsidR="006D0DBA" w:rsidRPr="00D114C2">
        <w:rPr>
          <w:rFonts w:ascii="Arial" w:hAnsi="Arial" w:cs="Arial"/>
          <w:sz w:val="20"/>
          <w:szCs w:val="20"/>
        </w:rPr>
        <w:t xml:space="preserve"> po křižovatku s ulicí </w:t>
      </w:r>
      <w:r w:rsidR="00F71166" w:rsidRPr="00D114C2">
        <w:rPr>
          <w:rFonts w:ascii="Arial" w:hAnsi="Arial" w:cs="Arial"/>
          <w:sz w:val="20"/>
          <w:szCs w:val="20"/>
        </w:rPr>
        <w:t>Hluboká</w:t>
      </w:r>
      <w:r w:rsidRPr="00D114C2">
        <w:rPr>
          <w:rFonts w:ascii="Arial" w:hAnsi="Arial" w:cs="Arial"/>
          <w:sz w:val="20"/>
          <w:szCs w:val="20"/>
        </w:rPr>
        <w:t>)</w:t>
      </w:r>
      <w:r w:rsidR="00753172" w:rsidRPr="00D114C2">
        <w:rPr>
          <w:rFonts w:ascii="Arial" w:hAnsi="Arial" w:cs="Arial"/>
          <w:sz w:val="20"/>
          <w:szCs w:val="20"/>
        </w:rPr>
        <w:t xml:space="preserve">, </w:t>
      </w:r>
      <w:r w:rsidR="00F71166" w:rsidRPr="00D114C2">
        <w:rPr>
          <w:rFonts w:ascii="Arial" w:hAnsi="Arial" w:cs="Arial"/>
          <w:sz w:val="20"/>
          <w:szCs w:val="20"/>
        </w:rPr>
        <w:t xml:space="preserve">Hluboká (od křižovatky s ulicí Štefánikova po křižovatku s ulici Cihlářská), Cihlářská, Na </w:t>
      </w:r>
      <w:proofErr w:type="spellStart"/>
      <w:r w:rsidR="00F71166" w:rsidRPr="00D114C2">
        <w:rPr>
          <w:rFonts w:ascii="Arial" w:hAnsi="Arial" w:cs="Arial"/>
          <w:sz w:val="20"/>
          <w:szCs w:val="20"/>
        </w:rPr>
        <w:t>Požáře</w:t>
      </w:r>
      <w:proofErr w:type="spellEnd"/>
      <w:r w:rsidR="00F71166" w:rsidRPr="00D114C2">
        <w:rPr>
          <w:rFonts w:ascii="Arial" w:hAnsi="Arial" w:cs="Arial"/>
          <w:sz w:val="20"/>
          <w:szCs w:val="20"/>
        </w:rPr>
        <w:t xml:space="preserve">, Hradská (od křižovatky s ulicí Na </w:t>
      </w:r>
      <w:proofErr w:type="spellStart"/>
      <w:r w:rsidR="00F71166" w:rsidRPr="00D114C2">
        <w:rPr>
          <w:rFonts w:ascii="Arial" w:hAnsi="Arial" w:cs="Arial"/>
          <w:sz w:val="20"/>
          <w:szCs w:val="20"/>
        </w:rPr>
        <w:t>Požáře</w:t>
      </w:r>
      <w:proofErr w:type="spellEnd"/>
      <w:r w:rsidR="00F71166" w:rsidRPr="00D114C2">
        <w:rPr>
          <w:rFonts w:ascii="Arial" w:hAnsi="Arial" w:cs="Arial"/>
          <w:sz w:val="20"/>
          <w:szCs w:val="20"/>
        </w:rPr>
        <w:t xml:space="preserve"> po křižovatku s ulicí </w:t>
      </w:r>
      <w:proofErr w:type="spellStart"/>
      <w:r w:rsidR="00F71166" w:rsidRPr="00D114C2">
        <w:rPr>
          <w:rFonts w:ascii="Arial" w:hAnsi="Arial" w:cs="Arial"/>
          <w:sz w:val="20"/>
          <w:szCs w:val="20"/>
        </w:rPr>
        <w:t>Růmy</w:t>
      </w:r>
      <w:proofErr w:type="spellEnd"/>
      <w:r w:rsidR="00F71166" w:rsidRPr="00D114C2">
        <w:rPr>
          <w:rFonts w:ascii="Arial" w:hAnsi="Arial" w:cs="Arial"/>
          <w:sz w:val="20"/>
          <w:szCs w:val="20"/>
        </w:rPr>
        <w:t>)</w:t>
      </w:r>
      <w:r w:rsidR="00753172" w:rsidRPr="00D114C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53172" w:rsidRPr="00D114C2">
        <w:rPr>
          <w:rFonts w:ascii="Arial" w:hAnsi="Arial" w:cs="Arial"/>
          <w:sz w:val="20"/>
          <w:szCs w:val="20"/>
        </w:rPr>
        <w:t>Růmy</w:t>
      </w:r>
      <w:proofErr w:type="spellEnd"/>
      <w:r w:rsidR="00753172" w:rsidRPr="00D114C2">
        <w:rPr>
          <w:rFonts w:ascii="Arial" w:hAnsi="Arial" w:cs="Arial"/>
          <w:sz w:val="20"/>
          <w:szCs w:val="20"/>
        </w:rPr>
        <w:t>, Nad Ovčírnou V, U Zimního stadionu</w:t>
      </w:r>
      <w:r w:rsidR="00984CAF" w:rsidRPr="00D114C2">
        <w:rPr>
          <w:rFonts w:ascii="Arial" w:hAnsi="Arial" w:cs="Arial"/>
          <w:sz w:val="20"/>
          <w:szCs w:val="20"/>
        </w:rPr>
        <w:t>, Mostní (od křižovatky s ulicí U Zimního stadionu po křižovatku s ulicí Kotěrova</w:t>
      </w:r>
      <w:r w:rsidR="004D4A41" w:rsidRPr="00D114C2">
        <w:rPr>
          <w:rFonts w:ascii="Arial" w:hAnsi="Arial" w:cs="Arial"/>
          <w:sz w:val="20"/>
          <w:szCs w:val="20"/>
        </w:rPr>
        <w:t>)</w:t>
      </w:r>
      <w:r w:rsidR="00984CAF" w:rsidRPr="00D114C2">
        <w:rPr>
          <w:rFonts w:ascii="Arial" w:hAnsi="Arial" w:cs="Arial"/>
          <w:sz w:val="20"/>
          <w:szCs w:val="20"/>
        </w:rPr>
        <w:t>, Kotěrova, Topolová (od křižovatky s ulicí Kotěrova po křižovatku s ulicí L. Váchy), L. Váchy (od křižovatky s ulicí Topolová po křižovatku s ulicí Přímá), Přímá, Nábřežní (od křižovatky s</w:t>
      </w:r>
      <w:r w:rsidR="004D4A41" w:rsidRPr="00D114C2">
        <w:rPr>
          <w:rFonts w:ascii="Arial" w:hAnsi="Arial" w:cs="Arial"/>
          <w:sz w:val="20"/>
          <w:szCs w:val="20"/>
        </w:rPr>
        <w:t xml:space="preserve"> </w:t>
      </w:r>
      <w:r w:rsidR="00984CAF" w:rsidRPr="00D114C2">
        <w:rPr>
          <w:rFonts w:ascii="Arial" w:hAnsi="Arial" w:cs="Arial"/>
          <w:sz w:val="20"/>
          <w:szCs w:val="20"/>
        </w:rPr>
        <w:t xml:space="preserve">ulicí Přímá po křižovatku s ulicí </w:t>
      </w:r>
      <w:proofErr w:type="spellStart"/>
      <w:r w:rsidR="00984CAF" w:rsidRPr="00D114C2">
        <w:rPr>
          <w:rFonts w:ascii="Arial" w:hAnsi="Arial" w:cs="Arial"/>
          <w:sz w:val="20"/>
          <w:szCs w:val="20"/>
        </w:rPr>
        <w:t>Gahurova</w:t>
      </w:r>
      <w:proofErr w:type="spellEnd"/>
      <w:r w:rsidR="00984CAF" w:rsidRPr="00D114C2">
        <w:rPr>
          <w:rFonts w:ascii="Arial" w:hAnsi="Arial" w:cs="Arial"/>
          <w:sz w:val="20"/>
          <w:szCs w:val="20"/>
        </w:rPr>
        <w:t xml:space="preserve">), </w:t>
      </w:r>
      <w:proofErr w:type="spellStart"/>
      <w:r w:rsidR="00984CAF" w:rsidRPr="00D114C2">
        <w:rPr>
          <w:rFonts w:ascii="Arial" w:hAnsi="Arial" w:cs="Arial"/>
          <w:sz w:val="20"/>
          <w:szCs w:val="20"/>
        </w:rPr>
        <w:t>Gahurova</w:t>
      </w:r>
      <w:proofErr w:type="spellEnd"/>
      <w:r w:rsidR="00984CAF" w:rsidRPr="00D114C2">
        <w:rPr>
          <w:rFonts w:ascii="Arial" w:hAnsi="Arial" w:cs="Arial"/>
          <w:sz w:val="20"/>
          <w:szCs w:val="20"/>
        </w:rPr>
        <w:t xml:space="preserve"> (od křižovatky s ulicí Nábřežní po křižovatku s ulicí Tyršovo nábřeží), Tyršovo nábřeží</w:t>
      </w:r>
      <w:r w:rsidR="00F71166" w:rsidRPr="00D114C2">
        <w:rPr>
          <w:rFonts w:ascii="Arial" w:hAnsi="Arial" w:cs="Arial"/>
          <w:sz w:val="20"/>
          <w:szCs w:val="20"/>
        </w:rPr>
        <w:t xml:space="preserve"> (od křižovatky s ulicí </w:t>
      </w:r>
      <w:proofErr w:type="spellStart"/>
      <w:r w:rsidR="00F71166" w:rsidRPr="00D114C2">
        <w:rPr>
          <w:rFonts w:ascii="Arial" w:hAnsi="Arial" w:cs="Arial"/>
          <w:sz w:val="20"/>
          <w:szCs w:val="20"/>
        </w:rPr>
        <w:t>Gahurova</w:t>
      </w:r>
      <w:proofErr w:type="spellEnd"/>
      <w:r w:rsidR="00F71166" w:rsidRPr="00D114C2">
        <w:rPr>
          <w:rFonts w:ascii="Arial" w:hAnsi="Arial" w:cs="Arial"/>
          <w:sz w:val="20"/>
          <w:szCs w:val="20"/>
        </w:rPr>
        <w:t xml:space="preserve"> po křižovatku s ulicí Smetanova), Smetanova (od křižovatky s ulicí Tyršovo nábřeží po křižovatku s ulicí Pod Stráněmi), Pod Stráněmi, </w:t>
      </w:r>
      <w:r w:rsidR="00D114C2" w:rsidRPr="00D114C2">
        <w:rPr>
          <w:rFonts w:ascii="Arial" w:hAnsi="Arial" w:cs="Arial"/>
          <w:sz w:val="20"/>
          <w:szCs w:val="20"/>
        </w:rPr>
        <w:t>Smetanova (od křižovatky s ulicí Pod Stráněmi po křižovatku s ulicí Tyršovo nábřeží), Tyršovo nábřeží (od křižovatky s ulicí Smetanova po křižovatku s ulicí Dlouhá)</w:t>
      </w:r>
      <w:r w:rsidR="00984CAF" w:rsidRPr="00D114C2">
        <w:rPr>
          <w:rFonts w:ascii="Arial" w:hAnsi="Arial" w:cs="Arial"/>
          <w:sz w:val="20"/>
          <w:szCs w:val="20"/>
        </w:rPr>
        <w:t>, Dlouhá (od křižovatky s ulicí Tyršovo nábřeží</w:t>
      </w:r>
      <w:r w:rsidR="004D4A41" w:rsidRPr="00D114C2">
        <w:rPr>
          <w:rFonts w:ascii="Arial" w:hAnsi="Arial" w:cs="Arial"/>
          <w:sz w:val="20"/>
          <w:szCs w:val="20"/>
        </w:rPr>
        <w:t xml:space="preserve"> </w:t>
      </w:r>
      <w:r w:rsidR="00984CAF" w:rsidRPr="00D114C2">
        <w:rPr>
          <w:rFonts w:ascii="Arial" w:hAnsi="Arial" w:cs="Arial"/>
          <w:sz w:val="20"/>
          <w:szCs w:val="20"/>
        </w:rPr>
        <w:t>po křižovatku s</w:t>
      </w:r>
      <w:r w:rsidR="004D4A41" w:rsidRPr="00D114C2">
        <w:rPr>
          <w:rFonts w:ascii="Arial" w:hAnsi="Arial" w:cs="Arial"/>
          <w:sz w:val="20"/>
          <w:szCs w:val="20"/>
        </w:rPr>
        <w:t> </w:t>
      </w:r>
      <w:r w:rsidR="00984CAF" w:rsidRPr="00D114C2">
        <w:rPr>
          <w:rFonts w:ascii="Arial" w:hAnsi="Arial" w:cs="Arial"/>
          <w:sz w:val="20"/>
          <w:szCs w:val="20"/>
        </w:rPr>
        <w:t>ulicí</w:t>
      </w:r>
      <w:r w:rsidR="004D4A41" w:rsidRPr="00D114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4A41" w:rsidRPr="00D114C2">
        <w:rPr>
          <w:rFonts w:ascii="Arial" w:hAnsi="Arial" w:cs="Arial"/>
          <w:sz w:val="20"/>
          <w:szCs w:val="20"/>
        </w:rPr>
        <w:t>Santražiny</w:t>
      </w:r>
      <w:proofErr w:type="spellEnd"/>
      <w:r w:rsidR="004D4A41" w:rsidRPr="00D114C2">
        <w:rPr>
          <w:rFonts w:ascii="Arial" w:hAnsi="Arial" w:cs="Arial"/>
          <w:sz w:val="20"/>
          <w:szCs w:val="20"/>
        </w:rPr>
        <w:t xml:space="preserve">), </w:t>
      </w:r>
      <w:proofErr w:type="spellStart"/>
      <w:r w:rsidR="004D4A41" w:rsidRPr="00D114C2">
        <w:rPr>
          <w:rFonts w:ascii="Arial" w:hAnsi="Arial" w:cs="Arial"/>
          <w:sz w:val="20"/>
          <w:szCs w:val="20"/>
        </w:rPr>
        <w:t>Santražiny</w:t>
      </w:r>
      <w:proofErr w:type="spellEnd"/>
      <w:r w:rsidR="004D4A41" w:rsidRPr="00D114C2">
        <w:rPr>
          <w:rFonts w:ascii="Arial" w:hAnsi="Arial" w:cs="Arial"/>
          <w:sz w:val="20"/>
          <w:szCs w:val="20"/>
        </w:rPr>
        <w:t>,</w:t>
      </w:r>
      <w:r w:rsidR="00D114C2" w:rsidRPr="00D114C2">
        <w:rPr>
          <w:rFonts w:ascii="Arial" w:hAnsi="Arial" w:cs="Arial"/>
          <w:sz w:val="20"/>
          <w:szCs w:val="20"/>
        </w:rPr>
        <w:t xml:space="preserve"> Hornomlýnská (od křižovatky s ulicí </w:t>
      </w:r>
      <w:proofErr w:type="spellStart"/>
      <w:r w:rsidR="00D114C2" w:rsidRPr="00D114C2">
        <w:rPr>
          <w:rFonts w:ascii="Arial" w:hAnsi="Arial" w:cs="Arial"/>
          <w:sz w:val="20"/>
          <w:szCs w:val="20"/>
        </w:rPr>
        <w:t>Santražiny</w:t>
      </w:r>
      <w:proofErr w:type="spellEnd"/>
      <w:r w:rsidR="00D114C2" w:rsidRPr="00D114C2">
        <w:rPr>
          <w:rFonts w:ascii="Arial" w:hAnsi="Arial" w:cs="Arial"/>
          <w:sz w:val="20"/>
          <w:szCs w:val="20"/>
        </w:rPr>
        <w:t xml:space="preserve"> po železni</w:t>
      </w:r>
      <w:r w:rsidR="00A95B3E">
        <w:rPr>
          <w:rFonts w:ascii="Arial" w:hAnsi="Arial" w:cs="Arial"/>
          <w:sz w:val="20"/>
          <w:szCs w:val="20"/>
        </w:rPr>
        <w:t>č</w:t>
      </w:r>
      <w:r w:rsidR="00D114C2" w:rsidRPr="00D114C2">
        <w:rPr>
          <w:rFonts w:ascii="Arial" w:hAnsi="Arial" w:cs="Arial"/>
          <w:sz w:val="20"/>
          <w:szCs w:val="20"/>
        </w:rPr>
        <w:t>ní přejezd k ulici Kvítková), Kvítková (od ž</w:t>
      </w:r>
      <w:r w:rsidR="00A95B3E">
        <w:rPr>
          <w:rFonts w:ascii="Arial" w:hAnsi="Arial" w:cs="Arial"/>
          <w:sz w:val="20"/>
          <w:szCs w:val="20"/>
        </w:rPr>
        <w:t>elezničního přejezdu na ulici H</w:t>
      </w:r>
      <w:r w:rsidR="00D114C2" w:rsidRPr="00D114C2">
        <w:rPr>
          <w:rFonts w:ascii="Arial" w:hAnsi="Arial" w:cs="Arial"/>
          <w:sz w:val="20"/>
          <w:szCs w:val="20"/>
        </w:rPr>
        <w:t>o</w:t>
      </w:r>
      <w:r w:rsidR="00A95B3E">
        <w:rPr>
          <w:rFonts w:ascii="Arial" w:hAnsi="Arial" w:cs="Arial"/>
          <w:sz w:val="20"/>
          <w:szCs w:val="20"/>
        </w:rPr>
        <w:t>r</w:t>
      </w:r>
      <w:r w:rsidR="00D114C2" w:rsidRPr="00D114C2">
        <w:rPr>
          <w:rFonts w:ascii="Arial" w:hAnsi="Arial" w:cs="Arial"/>
          <w:sz w:val="20"/>
          <w:szCs w:val="20"/>
        </w:rPr>
        <w:t>nomlýnská po ulici Díly III), Dí</w:t>
      </w:r>
      <w:r w:rsidR="00A95B3E">
        <w:rPr>
          <w:rFonts w:ascii="Arial" w:hAnsi="Arial" w:cs="Arial"/>
          <w:sz w:val="20"/>
          <w:szCs w:val="20"/>
        </w:rPr>
        <w:t>l</w:t>
      </w:r>
      <w:r w:rsidR="00D114C2" w:rsidRPr="00D114C2">
        <w:rPr>
          <w:rFonts w:ascii="Arial" w:hAnsi="Arial" w:cs="Arial"/>
          <w:sz w:val="20"/>
          <w:szCs w:val="20"/>
        </w:rPr>
        <w:t>y III, Široká.</w:t>
      </w:r>
    </w:p>
    <w:p w:rsidR="00E7313A" w:rsidRPr="00905DF4" w:rsidRDefault="00E7313A" w:rsidP="007856C0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E23DB4" w:rsidRPr="00905DF4" w:rsidRDefault="00CC4589" w:rsidP="004D4A41">
      <w:pPr>
        <w:tabs>
          <w:tab w:val="left" w:pos="108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05DF4">
        <w:rPr>
          <w:rFonts w:ascii="Arial" w:hAnsi="Arial" w:cs="Arial"/>
          <w:sz w:val="20"/>
          <w:szCs w:val="20"/>
        </w:rPr>
        <w:t>U</w:t>
      </w:r>
      <w:r w:rsidR="00E23DB4" w:rsidRPr="00905DF4">
        <w:rPr>
          <w:rFonts w:ascii="Arial" w:hAnsi="Arial" w:cs="Arial"/>
          <w:sz w:val="20"/>
          <w:szCs w:val="20"/>
        </w:rPr>
        <w:t>lic</w:t>
      </w:r>
      <w:r w:rsidRPr="00905DF4">
        <w:rPr>
          <w:rFonts w:ascii="Arial" w:hAnsi="Arial" w:cs="Arial"/>
          <w:sz w:val="20"/>
          <w:szCs w:val="20"/>
        </w:rPr>
        <w:t>e</w:t>
      </w:r>
      <w:r w:rsidR="00E23DB4" w:rsidRPr="00905DF4">
        <w:rPr>
          <w:rFonts w:ascii="Arial" w:hAnsi="Arial" w:cs="Arial"/>
          <w:sz w:val="20"/>
          <w:szCs w:val="20"/>
        </w:rPr>
        <w:t xml:space="preserve"> ohraničující</w:t>
      </w:r>
      <w:r w:rsidRPr="00905DF4">
        <w:rPr>
          <w:rFonts w:ascii="Arial" w:hAnsi="Arial" w:cs="Arial"/>
          <w:sz w:val="20"/>
          <w:szCs w:val="20"/>
        </w:rPr>
        <w:t xml:space="preserve"> uvedenou oblast jsou součástí tét</w:t>
      </w:r>
      <w:r w:rsidR="00E23DB4" w:rsidRPr="00905DF4">
        <w:rPr>
          <w:rFonts w:ascii="Arial" w:hAnsi="Arial" w:cs="Arial"/>
          <w:sz w:val="20"/>
          <w:szCs w:val="20"/>
        </w:rPr>
        <w:t xml:space="preserve">o oblasti. </w:t>
      </w:r>
    </w:p>
    <w:p w:rsidR="00E23DB4" w:rsidRDefault="00E23DB4" w:rsidP="004D4A41">
      <w:pPr>
        <w:tabs>
          <w:tab w:val="left" w:pos="1080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5C6D1D" w:rsidRPr="00905DF4" w:rsidRDefault="005C6D1D" w:rsidP="004D4A41">
      <w:pPr>
        <w:tabs>
          <w:tab w:val="left" w:pos="1080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E7313A" w:rsidRPr="00905DF4" w:rsidRDefault="004D4A41" w:rsidP="004D4A41">
      <w:pPr>
        <w:tabs>
          <w:tab w:val="left" w:pos="108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05DF4">
        <w:rPr>
          <w:rFonts w:ascii="Arial" w:hAnsi="Arial" w:cs="Arial"/>
          <w:sz w:val="20"/>
          <w:szCs w:val="20"/>
        </w:rPr>
        <w:t>Obr. č.</w:t>
      </w:r>
      <w:r w:rsidR="00E90BC0">
        <w:rPr>
          <w:rFonts w:ascii="Arial" w:hAnsi="Arial" w:cs="Arial"/>
          <w:sz w:val="20"/>
          <w:szCs w:val="20"/>
        </w:rPr>
        <w:t xml:space="preserve"> 1: Grafické znázornění oblasti </w:t>
      </w:r>
      <w:r w:rsidRPr="00905DF4">
        <w:rPr>
          <w:rFonts w:ascii="Arial" w:hAnsi="Arial" w:cs="Arial"/>
          <w:sz w:val="20"/>
          <w:szCs w:val="20"/>
        </w:rPr>
        <w:t>vymezené pod bodem 1)</w:t>
      </w:r>
    </w:p>
    <w:p w:rsidR="00954DBC" w:rsidRPr="005C6D1D" w:rsidRDefault="00AF0F85" w:rsidP="005C6D1D">
      <w:pPr>
        <w:tabs>
          <w:tab w:val="left" w:pos="1080"/>
        </w:tabs>
        <w:ind w:left="142"/>
        <w:jc w:val="both"/>
        <w:rPr>
          <w:rFonts w:ascii="Arial" w:hAnsi="Arial" w:cs="Arial"/>
          <w:color w:val="993300"/>
          <w:sz w:val="20"/>
          <w:szCs w:val="20"/>
        </w:rPr>
      </w:pPr>
      <w:r>
        <w:rPr>
          <w:rFonts w:ascii="Arial" w:hAnsi="Arial" w:cs="Arial"/>
          <w:noProof/>
          <w:color w:val="993300"/>
          <w:sz w:val="20"/>
          <w:szCs w:val="20"/>
        </w:rPr>
        <w:drawing>
          <wp:inline distT="0" distB="0" distL="0" distR="0">
            <wp:extent cx="6534150" cy="4810125"/>
            <wp:effectExtent l="0" t="0" r="0" b="0"/>
            <wp:docPr id="1" name="obrázek 1" descr="Obrázek - zóna cen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ek - zóna centr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DBC" w:rsidRPr="00870629" w:rsidRDefault="00954DBC" w:rsidP="004D4A41">
      <w:pPr>
        <w:tabs>
          <w:tab w:val="left" w:pos="1080"/>
        </w:tabs>
        <w:ind w:left="360"/>
        <w:jc w:val="both"/>
        <w:rPr>
          <w:rFonts w:ascii="Arial" w:hAnsi="Arial" w:cs="Arial"/>
          <w:i/>
          <w:color w:val="993300"/>
          <w:sz w:val="21"/>
          <w:szCs w:val="21"/>
        </w:rPr>
      </w:pPr>
    </w:p>
    <w:p w:rsidR="00E7313A" w:rsidRPr="00870629" w:rsidRDefault="00E7313A" w:rsidP="007856C0">
      <w:pPr>
        <w:tabs>
          <w:tab w:val="left" w:pos="1080"/>
        </w:tabs>
        <w:jc w:val="both"/>
        <w:rPr>
          <w:rFonts w:ascii="Arial" w:hAnsi="Arial" w:cs="Arial"/>
          <w:i/>
          <w:color w:val="993300"/>
          <w:sz w:val="21"/>
          <w:szCs w:val="21"/>
        </w:rPr>
      </w:pPr>
    </w:p>
    <w:p w:rsidR="0002415A" w:rsidRPr="00905DF4" w:rsidRDefault="0002415A" w:rsidP="007856C0">
      <w:pPr>
        <w:tabs>
          <w:tab w:val="left" w:pos="1080"/>
        </w:tabs>
        <w:jc w:val="both"/>
        <w:rPr>
          <w:rFonts w:ascii="Arial" w:hAnsi="Arial" w:cs="Arial"/>
          <w:i/>
          <w:color w:val="993300"/>
          <w:sz w:val="20"/>
          <w:szCs w:val="20"/>
        </w:rPr>
      </w:pPr>
    </w:p>
    <w:p w:rsidR="004D4A41" w:rsidRDefault="004D4A41" w:rsidP="007856C0">
      <w:pPr>
        <w:tabs>
          <w:tab w:val="left" w:pos="1080"/>
        </w:tabs>
        <w:jc w:val="both"/>
        <w:rPr>
          <w:rFonts w:ascii="Arial" w:hAnsi="Arial" w:cs="Arial"/>
          <w:i/>
          <w:color w:val="993300"/>
          <w:sz w:val="20"/>
          <w:szCs w:val="20"/>
        </w:rPr>
      </w:pPr>
    </w:p>
    <w:p w:rsidR="005C6D1D" w:rsidRDefault="005C6D1D" w:rsidP="007856C0">
      <w:pPr>
        <w:tabs>
          <w:tab w:val="left" w:pos="1080"/>
        </w:tabs>
        <w:jc w:val="both"/>
        <w:rPr>
          <w:rFonts w:ascii="Arial" w:hAnsi="Arial" w:cs="Arial"/>
          <w:i/>
          <w:color w:val="993300"/>
          <w:sz w:val="20"/>
          <w:szCs w:val="20"/>
        </w:rPr>
      </w:pPr>
    </w:p>
    <w:p w:rsidR="005C6D1D" w:rsidRDefault="005C6D1D" w:rsidP="007856C0">
      <w:pPr>
        <w:tabs>
          <w:tab w:val="left" w:pos="1080"/>
        </w:tabs>
        <w:jc w:val="both"/>
        <w:rPr>
          <w:rFonts w:ascii="Arial" w:hAnsi="Arial" w:cs="Arial"/>
          <w:i/>
          <w:color w:val="993300"/>
          <w:sz w:val="20"/>
          <w:szCs w:val="20"/>
        </w:rPr>
      </w:pPr>
    </w:p>
    <w:p w:rsidR="005C6D1D" w:rsidRDefault="005C6D1D" w:rsidP="007856C0">
      <w:pPr>
        <w:tabs>
          <w:tab w:val="left" w:pos="1080"/>
        </w:tabs>
        <w:jc w:val="both"/>
        <w:rPr>
          <w:rFonts w:ascii="Arial" w:hAnsi="Arial" w:cs="Arial"/>
          <w:i/>
          <w:color w:val="993300"/>
          <w:sz w:val="20"/>
          <w:szCs w:val="20"/>
        </w:rPr>
      </w:pPr>
    </w:p>
    <w:p w:rsidR="005C6D1D" w:rsidRDefault="005C6D1D" w:rsidP="007856C0">
      <w:pPr>
        <w:tabs>
          <w:tab w:val="left" w:pos="1080"/>
        </w:tabs>
        <w:jc w:val="both"/>
        <w:rPr>
          <w:rFonts w:ascii="Arial" w:hAnsi="Arial" w:cs="Arial"/>
          <w:i/>
          <w:color w:val="993300"/>
          <w:sz w:val="20"/>
          <w:szCs w:val="20"/>
        </w:rPr>
      </w:pPr>
    </w:p>
    <w:p w:rsidR="005C6D1D" w:rsidRPr="00905DF4" w:rsidRDefault="005C6D1D" w:rsidP="007856C0">
      <w:pPr>
        <w:tabs>
          <w:tab w:val="left" w:pos="1080"/>
        </w:tabs>
        <w:jc w:val="both"/>
        <w:rPr>
          <w:rFonts w:ascii="Arial" w:hAnsi="Arial" w:cs="Arial"/>
          <w:i/>
          <w:color w:val="993300"/>
          <w:sz w:val="20"/>
          <w:szCs w:val="20"/>
        </w:rPr>
      </w:pPr>
    </w:p>
    <w:p w:rsidR="006D0DBA" w:rsidRPr="00905DF4" w:rsidRDefault="006D0DBA" w:rsidP="004D4A41">
      <w:pPr>
        <w:numPr>
          <w:ilvl w:val="0"/>
          <w:numId w:val="6"/>
        </w:numPr>
        <w:tabs>
          <w:tab w:val="clear" w:pos="720"/>
          <w:tab w:val="num" w:pos="360"/>
          <w:tab w:val="left" w:pos="6480"/>
        </w:tabs>
        <w:ind w:left="360"/>
        <w:jc w:val="both"/>
        <w:rPr>
          <w:rFonts w:ascii="Arial" w:hAnsi="Arial" w:cs="Arial"/>
          <w:i/>
          <w:color w:val="993300"/>
          <w:sz w:val="20"/>
          <w:szCs w:val="20"/>
        </w:rPr>
      </w:pPr>
      <w:r w:rsidRPr="00905DF4">
        <w:rPr>
          <w:rFonts w:ascii="Arial" w:hAnsi="Arial" w:cs="Arial"/>
          <w:sz w:val="20"/>
          <w:szCs w:val="20"/>
        </w:rPr>
        <w:lastRenderedPageBreak/>
        <w:t>O</w:t>
      </w:r>
      <w:r w:rsidR="004D4A41" w:rsidRPr="00905DF4">
        <w:rPr>
          <w:rFonts w:ascii="Arial" w:hAnsi="Arial" w:cs="Arial"/>
          <w:sz w:val="20"/>
          <w:szCs w:val="20"/>
        </w:rPr>
        <w:t>blast v</w:t>
      </w:r>
      <w:bookmarkStart w:id="0" w:name="_GoBack"/>
      <w:bookmarkEnd w:id="0"/>
      <w:r w:rsidR="004D4A41" w:rsidRPr="00905DF4">
        <w:rPr>
          <w:rFonts w:ascii="Arial" w:hAnsi="Arial" w:cs="Arial"/>
          <w:sz w:val="20"/>
          <w:szCs w:val="20"/>
        </w:rPr>
        <w:t>ymezená ulicí Lešenská</w:t>
      </w:r>
      <w:r w:rsidRPr="00905DF4">
        <w:rPr>
          <w:rFonts w:ascii="Arial" w:hAnsi="Arial" w:cs="Arial"/>
          <w:sz w:val="20"/>
          <w:szCs w:val="20"/>
        </w:rPr>
        <w:t xml:space="preserve"> </w:t>
      </w:r>
      <w:r w:rsidR="004D4A41" w:rsidRPr="00905DF4">
        <w:rPr>
          <w:rFonts w:ascii="Arial" w:hAnsi="Arial" w:cs="Arial"/>
          <w:sz w:val="20"/>
          <w:szCs w:val="20"/>
        </w:rPr>
        <w:t>(</w:t>
      </w:r>
      <w:r w:rsidRPr="00905DF4">
        <w:rPr>
          <w:rFonts w:ascii="Arial" w:hAnsi="Arial" w:cs="Arial"/>
          <w:sz w:val="20"/>
          <w:szCs w:val="20"/>
        </w:rPr>
        <w:t>včet</w:t>
      </w:r>
      <w:r w:rsidR="004D4A41" w:rsidRPr="00905DF4">
        <w:rPr>
          <w:rFonts w:ascii="Arial" w:hAnsi="Arial" w:cs="Arial"/>
          <w:sz w:val="20"/>
          <w:szCs w:val="20"/>
        </w:rPr>
        <w:t>n</w:t>
      </w:r>
      <w:r w:rsidRPr="00905DF4">
        <w:rPr>
          <w:rFonts w:ascii="Arial" w:hAnsi="Arial" w:cs="Arial"/>
          <w:sz w:val="20"/>
          <w:szCs w:val="20"/>
        </w:rPr>
        <w:t xml:space="preserve">ě </w:t>
      </w:r>
      <w:r w:rsidR="004D4A41" w:rsidRPr="00905DF4">
        <w:rPr>
          <w:rFonts w:ascii="Arial" w:hAnsi="Arial" w:cs="Arial"/>
          <w:sz w:val="20"/>
          <w:szCs w:val="20"/>
        </w:rPr>
        <w:t xml:space="preserve">parkoviště nacházejícího </w:t>
      </w:r>
      <w:proofErr w:type="gramStart"/>
      <w:r w:rsidR="004D4A41" w:rsidRPr="00905DF4">
        <w:rPr>
          <w:rFonts w:ascii="Arial" w:hAnsi="Arial" w:cs="Arial"/>
          <w:sz w:val="20"/>
          <w:szCs w:val="20"/>
        </w:rPr>
        <w:t>se</w:t>
      </w:r>
      <w:proofErr w:type="gramEnd"/>
      <w:r w:rsidR="004D4A41" w:rsidRPr="00905DF4">
        <w:rPr>
          <w:rFonts w:ascii="Arial" w:hAnsi="Arial" w:cs="Arial"/>
          <w:sz w:val="20"/>
          <w:szCs w:val="20"/>
        </w:rPr>
        <w:t xml:space="preserve"> v severozápadní části této ulice</w:t>
      </w:r>
      <w:r w:rsidR="003B7132" w:rsidRPr="00905DF4">
        <w:rPr>
          <w:rFonts w:ascii="Arial" w:hAnsi="Arial" w:cs="Arial"/>
          <w:sz w:val="20"/>
          <w:szCs w:val="20"/>
        </w:rPr>
        <w:t xml:space="preserve"> u křižovatky s ulicí Zámeckou</w:t>
      </w:r>
      <w:r w:rsidR="004D4A41" w:rsidRPr="00905DF4">
        <w:rPr>
          <w:rFonts w:ascii="Arial" w:hAnsi="Arial" w:cs="Arial"/>
          <w:sz w:val="20"/>
          <w:szCs w:val="20"/>
        </w:rPr>
        <w:t>)</w:t>
      </w:r>
      <w:r w:rsidR="00B63E08" w:rsidRPr="00905DF4">
        <w:rPr>
          <w:rFonts w:ascii="Arial" w:hAnsi="Arial" w:cs="Arial"/>
          <w:sz w:val="20"/>
          <w:szCs w:val="20"/>
        </w:rPr>
        <w:t xml:space="preserve"> a Mariánským náměstím</w:t>
      </w:r>
      <w:r w:rsidR="004D4A41" w:rsidRPr="00905DF4">
        <w:rPr>
          <w:rFonts w:ascii="Arial" w:hAnsi="Arial" w:cs="Arial"/>
          <w:sz w:val="20"/>
          <w:szCs w:val="20"/>
        </w:rPr>
        <w:t>.</w:t>
      </w:r>
    </w:p>
    <w:p w:rsidR="0002415A" w:rsidRPr="00905DF4" w:rsidRDefault="0002415A" w:rsidP="007856C0">
      <w:pPr>
        <w:tabs>
          <w:tab w:val="left" w:pos="1080"/>
        </w:tabs>
        <w:jc w:val="both"/>
        <w:rPr>
          <w:rFonts w:ascii="Arial" w:hAnsi="Arial" w:cs="Arial"/>
          <w:i/>
          <w:color w:val="993300"/>
          <w:sz w:val="20"/>
          <w:szCs w:val="20"/>
        </w:rPr>
      </w:pPr>
    </w:p>
    <w:p w:rsidR="003B7132" w:rsidRPr="00905DF4" w:rsidRDefault="003B7132" w:rsidP="007856C0">
      <w:pPr>
        <w:tabs>
          <w:tab w:val="left" w:pos="1080"/>
        </w:tabs>
        <w:jc w:val="both"/>
        <w:rPr>
          <w:rFonts w:ascii="Arial" w:hAnsi="Arial" w:cs="Arial"/>
          <w:i/>
          <w:color w:val="993300"/>
          <w:sz w:val="20"/>
          <w:szCs w:val="20"/>
        </w:rPr>
      </w:pPr>
    </w:p>
    <w:p w:rsidR="003B7132" w:rsidRPr="00905DF4" w:rsidRDefault="003B7132" w:rsidP="003B7132">
      <w:pPr>
        <w:tabs>
          <w:tab w:val="left" w:pos="108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05DF4">
        <w:rPr>
          <w:rFonts w:ascii="Arial" w:hAnsi="Arial" w:cs="Arial"/>
          <w:sz w:val="20"/>
          <w:szCs w:val="20"/>
        </w:rPr>
        <w:t>Obr. č. 2: Grafické znázornění oblasti vymezené pod bodem 2)</w:t>
      </w:r>
    </w:p>
    <w:p w:rsidR="003B7132" w:rsidRPr="00870629" w:rsidRDefault="003B7132" w:rsidP="007856C0">
      <w:pPr>
        <w:tabs>
          <w:tab w:val="left" w:pos="1080"/>
        </w:tabs>
        <w:jc w:val="both"/>
        <w:rPr>
          <w:rFonts w:ascii="Arial" w:hAnsi="Arial" w:cs="Arial"/>
          <w:i/>
          <w:color w:val="993300"/>
          <w:sz w:val="21"/>
          <w:szCs w:val="21"/>
        </w:rPr>
      </w:pPr>
    </w:p>
    <w:p w:rsidR="003B7132" w:rsidRPr="00870629" w:rsidRDefault="003B7132" w:rsidP="007856C0">
      <w:pPr>
        <w:tabs>
          <w:tab w:val="left" w:pos="1080"/>
        </w:tabs>
        <w:jc w:val="both"/>
        <w:rPr>
          <w:rFonts w:ascii="Arial" w:hAnsi="Arial" w:cs="Arial"/>
          <w:i/>
          <w:color w:val="993300"/>
          <w:sz w:val="21"/>
          <w:szCs w:val="21"/>
        </w:rPr>
      </w:pPr>
    </w:p>
    <w:p w:rsidR="00E7313A" w:rsidRPr="00870629" w:rsidRDefault="00AF0F85" w:rsidP="003B7132">
      <w:pPr>
        <w:tabs>
          <w:tab w:val="left" w:pos="1080"/>
        </w:tabs>
        <w:ind w:left="360"/>
        <w:jc w:val="both"/>
        <w:rPr>
          <w:rFonts w:ascii="Arial" w:hAnsi="Arial" w:cs="Arial"/>
          <w:i/>
          <w:color w:val="993300"/>
          <w:sz w:val="21"/>
          <w:szCs w:val="21"/>
        </w:rPr>
      </w:pPr>
      <w:r w:rsidRPr="00870629">
        <w:rPr>
          <w:rFonts w:ascii="Arial" w:hAnsi="Arial" w:cs="Arial"/>
          <w:i/>
          <w:noProof/>
          <w:color w:val="993300"/>
          <w:sz w:val="21"/>
          <w:szCs w:val="21"/>
        </w:rPr>
        <w:drawing>
          <wp:inline distT="0" distB="0" distL="0" distR="0">
            <wp:extent cx="5600700" cy="3933825"/>
            <wp:effectExtent l="0" t="0" r="0" b="0"/>
            <wp:docPr id="2" name="obrázek 2" descr="parkovani_ZOO_les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kovani_ZOO_les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132" w:rsidRPr="00870629" w:rsidRDefault="003B7132" w:rsidP="00E7313A">
      <w:pPr>
        <w:tabs>
          <w:tab w:val="left" w:pos="1515"/>
        </w:tabs>
        <w:rPr>
          <w:rFonts w:ascii="Arial" w:hAnsi="Arial" w:cs="Arial"/>
          <w:i/>
          <w:sz w:val="21"/>
          <w:szCs w:val="21"/>
        </w:rPr>
      </w:pPr>
    </w:p>
    <w:p w:rsidR="003B7132" w:rsidRPr="00870629" w:rsidRDefault="003B7132" w:rsidP="00E7313A">
      <w:pPr>
        <w:tabs>
          <w:tab w:val="left" w:pos="1515"/>
        </w:tabs>
        <w:rPr>
          <w:rFonts w:ascii="Arial" w:hAnsi="Arial" w:cs="Arial"/>
          <w:i/>
          <w:sz w:val="21"/>
          <w:szCs w:val="21"/>
        </w:rPr>
      </w:pPr>
    </w:p>
    <w:p w:rsidR="003B7132" w:rsidRPr="00870629" w:rsidRDefault="003B7132" w:rsidP="00E7313A">
      <w:pPr>
        <w:tabs>
          <w:tab w:val="left" w:pos="1515"/>
        </w:tabs>
        <w:rPr>
          <w:rFonts w:ascii="Arial" w:hAnsi="Arial" w:cs="Arial"/>
          <w:i/>
          <w:sz w:val="21"/>
          <w:szCs w:val="21"/>
        </w:rPr>
      </w:pPr>
    </w:p>
    <w:p w:rsidR="003B7132" w:rsidRPr="00870629" w:rsidRDefault="003B7132" w:rsidP="00E7313A">
      <w:pPr>
        <w:tabs>
          <w:tab w:val="left" w:pos="1515"/>
        </w:tabs>
        <w:rPr>
          <w:rFonts w:ascii="Arial" w:hAnsi="Arial" w:cs="Arial"/>
          <w:i/>
          <w:sz w:val="21"/>
          <w:szCs w:val="21"/>
        </w:rPr>
      </w:pPr>
    </w:p>
    <w:p w:rsidR="003B7132" w:rsidRPr="00870629" w:rsidRDefault="003B7132" w:rsidP="00E7313A">
      <w:pPr>
        <w:tabs>
          <w:tab w:val="left" w:pos="1515"/>
        </w:tabs>
        <w:rPr>
          <w:rFonts w:ascii="Arial" w:hAnsi="Arial" w:cs="Arial"/>
          <w:i/>
          <w:sz w:val="21"/>
          <w:szCs w:val="21"/>
        </w:rPr>
      </w:pPr>
    </w:p>
    <w:p w:rsidR="003B7132" w:rsidRPr="00870629" w:rsidRDefault="003B7132" w:rsidP="00E7313A">
      <w:pPr>
        <w:tabs>
          <w:tab w:val="left" w:pos="1515"/>
        </w:tabs>
        <w:rPr>
          <w:rFonts w:ascii="Arial" w:hAnsi="Arial" w:cs="Arial"/>
          <w:i/>
          <w:sz w:val="21"/>
          <w:szCs w:val="21"/>
        </w:rPr>
      </w:pPr>
    </w:p>
    <w:p w:rsidR="003B7132" w:rsidRPr="00870629" w:rsidRDefault="003B7132" w:rsidP="00E7313A">
      <w:pPr>
        <w:tabs>
          <w:tab w:val="left" w:pos="1515"/>
        </w:tabs>
        <w:rPr>
          <w:rFonts w:ascii="Arial" w:hAnsi="Arial" w:cs="Arial"/>
          <w:i/>
          <w:sz w:val="21"/>
          <w:szCs w:val="21"/>
        </w:rPr>
      </w:pPr>
    </w:p>
    <w:sectPr w:rsidR="003B7132" w:rsidRPr="00870629" w:rsidSect="00BF5C30">
      <w:pgSz w:w="11906" w:h="16838"/>
      <w:pgMar w:top="993" w:right="991" w:bottom="107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1A0" w:rsidRDefault="003D51A0" w:rsidP="00392577">
      <w:r>
        <w:separator/>
      </w:r>
    </w:p>
  </w:endnote>
  <w:endnote w:type="continuationSeparator" w:id="0">
    <w:p w:rsidR="003D51A0" w:rsidRDefault="003D51A0" w:rsidP="0039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1A0" w:rsidRDefault="003D51A0" w:rsidP="00392577">
      <w:r>
        <w:separator/>
      </w:r>
    </w:p>
  </w:footnote>
  <w:footnote w:type="continuationSeparator" w:id="0">
    <w:p w:rsidR="003D51A0" w:rsidRDefault="003D51A0" w:rsidP="00392577">
      <w:r>
        <w:continuationSeparator/>
      </w:r>
    </w:p>
  </w:footnote>
  <w:footnote w:id="1">
    <w:p w:rsidR="00392577" w:rsidRPr="00392577" w:rsidRDefault="00392577">
      <w:pPr>
        <w:pStyle w:val="Textpoznpodarou"/>
        <w:rPr>
          <w:rFonts w:ascii="Arial" w:hAnsi="Arial" w:cs="Arial"/>
          <w:sz w:val="16"/>
          <w:szCs w:val="16"/>
        </w:rPr>
      </w:pPr>
      <w:r w:rsidRPr="00392577">
        <w:rPr>
          <w:rStyle w:val="Znakapoznpodarou"/>
          <w:rFonts w:ascii="Arial" w:hAnsi="Arial" w:cs="Arial"/>
          <w:sz w:val="16"/>
          <w:szCs w:val="16"/>
        </w:rPr>
        <w:footnoteRef/>
      </w:r>
      <w:r w:rsidRPr="00392577">
        <w:rPr>
          <w:rFonts w:ascii="Arial" w:hAnsi="Arial" w:cs="Arial"/>
          <w:sz w:val="16"/>
          <w:szCs w:val="16"/>
        </w:rPr>
        <w:t xml:space="preserve"> § 6 zákona č. 13/1997 Sb., o pozemních komunikacích, ve znění pozdějších předpisů.</w:t>
      </w:r>
    </w:p>
  </w:footnote>
  <w:footnote w:id="2">
    <w:p w:rsidR="00392577" w:rsidRDefault="00392577" w:rsidP="00EB52C2">
      <w:pPr>
        <w:tabs>
          <w:tab w:val="left" w:pos="1321"/>
          <w:tab w:val="left" w:pos="7380"/>
        </w:tabs>
        <w:autoSpaceDE w:val="0"/>
        <w:autoSpaceDN w:val="0"/>
        <w:adjustRightInd w:val="0"/>
      </w:pPr>
      <w:r w:rsidRPr="00392577">
        <w:rPr>
          <w:rStyle w:val="Znakapoznpodarou"/>
          <w:rFonts w:ascii="Arial" w:hAnsi="Arial" w:cs="Arial"/>
          <w:sz w:val="16"/>
          <w:szCs w:val="16"/>
        </w:rPr>
        <w:footnoteRef/>
      </w:r>
      <w:r w:rsidRPr="00392577">
        <w:rPr>
          <w:rFonts w:ascii="Arial" w:hAnsi="Arial" w:cs="Arial"/>
          <w:sz w:val="16"/>
          <w:szCs w:val="16"/>
        </w:rPr>
        <w:t xml:space="preserve"> Zákon č. 526/1990 Sb., o cenách, ve znění pozdějších předpisů.</w:t>
      </w:r>
    </w:p>
  </w:footnote>
  <w:footnote w:id="3">
    <w:p w:rsidR="00EB52C2" w:rsidRPr="00EB52C2" w:rsidRDefault="00EB52C2">
      <w:pPr>
        <w:pStyle w:val="Textpoznpodarou"/>
        <w:rPr>
          <w:rFonts w:ascii="Arial" w:hAnsi="Arial" w:cs="Arial"/>
          <w:sz w:val="16"/>
          <w:szCs w:val="16"/>
        </w:rPr>
      </w:pPr>
      <w:r w:rsidRPr="00EB52C2">
        <w:rPr>
          <w:rStyle w:val="Znakapoznpodarou"/>
          <w:rFonts w:ascii="Arial" w:hAnsi="Arial" w:cs="Arial"/>
          <w:sz w:val="16"/>
          <w:szCs w:val="16"/>
        </w:rPr>
        <w:footnoteRef/>
      </w:r>
      <w:r w:rsidRPr="00EB52C2">
        <w:rPr>
          <w:rFonts w:ascii="Arial" w:hAnsi="Arial" w:cs="Arial"/>
          <w:sz w:val="16"/>
          <w:szCs w:val="16"/>
        </w:rPr>
        <w:t xml:space="preserve"> Zákon č. 455/1991 Sb., o živnostenském podnikání (živnostenský zákon),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8204EE"/>
    <w:multiLevelType w:val="hybridMultilevel"/>
    <w:tmpl w:val="E654D59E"/>
    <w:lvl w:ilvl="0" w:tplc="A88EDF3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DF7075"/>
    <w:multiLevelType w:val="hybridMultilevel"/>
    <w:tmpl w:val="008429E4"/>
    <w:lvl w:ilvl="0" w:tplc="A0DCAAD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E48C0"/>
    <w:multiLevelType w:val="multilevel"/>
    <w:tmpl w:val="3B6621CC"/>
    <w:lvl w:ilvl="0">
      <w:start w:val="1"/>
      <w:numFmt w:val="lowerLetter"/>
      <w:lvlText w:val="%1)"/>
      <w:lvlJc w:val="left"/>
      <w:pPr>
        <w:tabs>
          <w:tab w:val="num" w:pos="1077"/>
        </w:tabs>
        <w:ind w:left="1080" w:firstLine="0"/>
      </w:pPr>
      <w:rPr>
        <w:rFonts w:ascii="Courier New" w:hAnsi="Courier New" w:cs="Courier New" w:hint="default"/>
        <w:b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436D91"/>
    <w:multiLevelType w:val="hybridMultilevel"/>
    <w:tmpl w:val="423E9A68"/>
    <w:lvl w:ilvl="0" w:tplc="315641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A2F9D"/>
    <w:multiLevelType w:val="hybridMultilevel"/>
    <w:tmpl w:val="C5863914"/>
    <w:lvl w:ilvl="0" w:tplc="3160B6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E372E7"/>
    <w:multiLevelType w:val="hybridMultilevel"/>
    <w:tmpl w:val="9594ECBA"/>
    <w:lvl w:ilvl="0" w:tplc="225EEC8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BD4E45"/>
    <w:multiLevelType w:val="hybridMultilevel"/>
    <w:tmpl w:val="F7F2B06E"/>
    <w:lvl w:ilvl="0" w:tplc="CC403E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407AD"/>
    <w:multiLevelType w:val="hybridMultilevel"/>
    <w:tmpl w:val="396E9AEE"/>
    <w:lvl w:ilvl="0" w:tplc="05A026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77F03"/>
    <w:multiLevelType w:val="hybridMultilevel"/>
    <w:tmpl w:val="FC34FA7A"/>
    <w:lvl w:ilvl="0" w:tplc="CC403E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3E2641"/>
    <w:multiLevelType w:val="hybridMultilevel"/>
    <w:tmpl w:val="44FE26B8"/>
    <w:lvl w:ilvl="0" w:tplc="E9CE10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1F4EBC"/>
    <w:multiLevelType w:val="hybridMultilevel"/>
    <w:tmpl w:val="A8BA89C8"/>
    <w:lvl w:ilvl="0" w:tplc="33CEADEE">
      <w:start w:val="1"/>
      <w:numFmt w:val="bullet"/>
      <w:lvlText w:val="-"/>
      <w:lvlJc w:val="left"/>
      <w:pPr>
        <w:tabs>
          <w:tab w:val="num" w:pos="737"/>
        </w:tabs>
        <w:ind w:left="680" w:hanging="340"/>
      </w:pPr>
      <w:rPr>
        <w:rFonts w:ascii="Courier New" w:hAnsi="Courier New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50808"/>
    <w:multiLevelType w:val="hybridMultilevel"/>
    <w:tmpl w:val="D19CED64"/>
    <w:lvl w:ilvl="0" w:tplc="A0DCAAD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763"/>
        <w:numFmt w:val="bullet"/>
        <w:lvlText w:val="-"/>
        <w:legacy w:legacy="1" w:legacySpace="120" w:legacyIndent="360"/>
        <w:lvlJc w:val="left"/>
        <w:pPr>
          <w:ind w:left="4185" w:hanging="360"/>
        </w:pPr>
      </w:lvl>
    </w:lvlOverride>
  </w:num>
  <w:num w:numId="2">
    <w:abstractNumId w:val="0"/>
    <w:lvlOverride w:ilvl="0">
      <w:lvl w:ilvl="0">
        <w:start w:val="763"/>
        <w:numFmt w:val="bullet"/>
        <w:lvlText w:val="-"/>
        <w:legacy w:legacy="1" w:legacySpace="120" w:legacyIndent="360"/>
        <w:lvlJc w:val="left"/>
        <w:pPr>
          <w:ind w:left="4185" w:hanging="360"/>
        </w:pPr>
      </w:lvl>
    </w:lvlOverride>
  </w:num>
  <w:num w:numId="3">
    <w:abstractNumId w:val="0"/>
    <w:lvlOverride w:ilvl="0">
      <w:lvl w:ilvl="0">
        <w:start w:val="763"/>
        <w:numFmt w:val="bullet"/>
        <w:lvlText w:val="-"/>
        <w:legacy w:legacy="1" w:legacySpace="120" w:legacyIndent="360"/>
        <w:lvlJc w:val="left"/>
        <w:pPr>
          <w:ind w:left="4185" w:hanging="360"/>
        </w:pPr>
      </w:lvl>
    </w:lvlOverride>
  </w:num>
  <w:num w:numId="4">
    <w:abstractNumId w:val="11"/>
  </w:num>
  <w:num w:numId="5">
    <w:abstractNumId w:val="9"/>
  </w:num>
  <w:num w:numId="6">
    <w:abstractNumId w:val="5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4"/>
  </w:num>
  <w:num w:numId="12">
    <w:abstractNumId w:val="12"/>
  </w:num>
  <w:num w:numId="13">
    <w:abstractNumId w:val="2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AF"/>
    <w:rsid w:val="00001E7B"/>
    <w:rsid w:val="00013919"/>
    <w:rsid w:val="0002415A"/>
    <w:rsid w:val="00030639"/>
    <w:rsid w:val="00031EFD"/>
    <w:rsid w:val="00032EA8"/>
    <w:rsid w:val="00042D32"/>
    <w:rsid w:val="000615F9"/>
    <w:rsid w:val="00067525"/>
    <w:rsid w:val="00086608"/>
    <w:rsid w:val="00093700"/>
    <w:rsid w:val="000B3246"/>
    <w:rsid w:val="000B38E5"/>
    <w:rsid w:val="000B61F8"/>
    <w:rsid w:val="000C6AA6"/>
    <w:rsid w:val="000D09FA"/>
    <w:rsid w:val="000F758A"/>
    <w:rsid w:val="00112909"/>
    <w:rsid w:val="00123E06"/>
    <w:rsid w:val="0015172D"/>
    <w:rsid w:val="0016156D"/>
    <w:rsid w:val="001730D4"/>
    <w:rsid w:val="00175DD5"/>
    <w:rsid w:val="001876AD"/>
    <w:rsid w:val="00191E30"/>
    <w:rsid w:val="001E07BE"/>
    <w:rsid w:val="001E6D07"/>
    <w:rsid w:val="0021514F"/>
    <w:rsid w:val="00226804"/>
    <w:rsid w:val="002760A2"/>
    <w:rsid w:val="00297EED"/>
    <w:rsid w:val="002A35DD"/>
    <w:rsid w:val="002B0D84"/>
    <w:rsid w:val="002E2D47"/>
    <w:rsid w:val="002F07F0"/>
    <w:rsid w:val="003025BE"/>
    <w:rsid w:val="0032212B"/>
    <w:rsid w:val="003414F2"/>
    <w:rsid w:val="00357772"/>
    <w:rsid w:val="00360122"/>
    <w:rsid w:val="00380D41"/>
    <w:rsid w:val="003826CF"/>
    <w:rsid w:val="00392577"/>
    <w:rsid w:val="003947BE"/>
    <w:rsid w:val="00397157"/>
    <w:rsid w:val="003B2CD3"/>
    <w:rsid w:val="003B7132"/>
    <w:rsid w:val="003C1691"/>
    <w:rsid w:val="003C4103"/>
    <w:rsid w:val="003D51A0"/>
    <w:rsid w:val="003F20E3"/>
    <w:rsid w:val="003F6BB5"/>
    <w:rsid w:val="00407E6E"/>
    <w:rsid w:val="004118E0"/>
    <w:rsid w:val="00420C1D"/>
    <w:rsid w:val="004312F1"/>
    <w:rsid w:val="004609D2"/>
    <w:rsid w:val="004D4A41"/>
    <w:rsid w:val="004F27A4"/>
    <w:rsid w:val="005017C0"/>
    <w:rsid w:val="00554DF2"/>
    <w:rsid w:val="00587532"/>
    <w:rsid w:val="005B3EEB"/>
    <w:rsid w:val="005C496C"/>
    <w:rsid w:val="005C6D1D"/>
    <w:rsid w:val="005F0E15"/>
    <w:rsid w:val="00611BAD"/>
    <w:rsid w:val="0061637C"/>
    <w:rsid w:val="00623B14"/>
    <w:rsid w:val="00652265"/>
    <w:rsid w:val="00655491"/>
    <w:rsid w:val="00662535"/>
    <w:rsid w:val="006761DF"/>
    <w:rsid w:val="00676341"/>
    <w:rsid w:val="00676AC9"/>
    <w:rsid w:val="0068348C"/>
    <w:rsid w:val="006842A7"/>
    <w:rsid w:val="00686F20"/>
    <w:rsid w:val="00692834"/>
    <w:rsid w:val="00692868"/>
    <w:rsid w:val="006A63A3"/>
    <w:rsid w:val="006B03DE"/>
    <w:rsid w:val="006C4DB3"/>
    <w:rsid w:val="006C5875"/>
    <w:rsid w:val="006D0DBA"/>
    <w:rsid w:val="006F153B"/>
    <w:rsid w:val="006F34F6"/>
    <w:rsid w:val="006F5C2D"/>
    <w:rsid w:val="00702C7A"/>
    <w:rsid w:val="0073515D"/>
    <w:rsid w:val="007523C3"/>
    <w:rsid w:val="00753172"/>
    <w:rsid w:val="00761072"/>
    <w:rsid w:val="007856C0"/>
    <w:rsid w:val="00790B7F"/>
    <w:rsid w:val="007C412A"/>
    <w:rsid w:val="007F0442"/>
    <w:rsid w:val="00825CFE"/>
    <w:rsid w:val="00834F7C"/>
    <w:rsid w:val="00837A8F"/>
    <w:rsid w:val="00843139"/>
    <w:rsid w:val="008443FA"/>
    <w:rsid w:val="00846B52"/>
    <w:rsid w:val="00870629"/>
    <w:rsid w:val="008723E0"/>
    <w:rsid w:val="00874258"/>
    <w:rsid w:val="008C0F1C"/>
    <w:rsid w:val="008C3A31"/>
    <w:rsid w:val="008E1E0C"/>
    <w:rsid w:val="008F1720"/>
    <w:rsid w:val="00905DF4"/>
    <w:rsid w:val="00933B40"/>
    <w:rsid w:val="00940901"/>
    <w:rsid w:val="00942117"/>
    <w:rsid w:val="00954D7E"/>
    <w:rsid w:val="00954DBC"/>
    <w:rsid w:val="0097534D"/>
    <w:rsid w:val="00984543"/>
    <w:rsid w:val="00984CAF"/>
    <w:rsid w:val="0098763C"/>
    <w:rsid w:val="00991A81"/>
    <w:rsid w:val="009A019F"/>
    <w:rsid w:val="009A13DE"/>
    <w:rsid w:val="009D40CE"/>
    <w:rsid w:val="009D6FF2"/>
    <w:rsid w:val="009D7765"/>
    <w:rsid w:val="009E0F0C"/>
    <w:rsid w:val="009E7F3A"/>
    <w:rsid w:val="009F203D"/>
    <w:rsid w:val="00A016B9"/>
    <w:rsid w:val="00A26C71"/>
    <w:rsid w:val="00A36052"/>
    <w:rsid w:val="00A8432B"/>
    <w:rsid w:val="00A95B3E"/>
    <w:rsid w:val="00AC45A4"/>
    <w:rsid w:val="00AD12A6"/>
    <w:rsid w:val="00AF0F85"/>
    <w:rsid w:val="00B414FF"/>
    <w:rsid w:val="00B4198A"/>
    <w:rsid w:val="00B63E08"/>
    <w:rsid w:val="00B8292F"/>
    <w:rsid w:val="00BA6FC8"/>
    <w:rsid w:val="00BC737E"/>
    <w:rsid w:val="00BE1648"/>
    <w:rsid w:val="00BF0119"/>
    <w:rsid w:val="00BF5C30"/>
    <w:rsid w:val="00C01DFF"/>
    <w:rsid w:val="00C046F5"/>
    <w:rsid w:val="00C3466B"/>
    <w:rsid w:val="00C86CC2"/>
    <w:rsid w:val="00CA147C"/>
    <w:rsid w:val="00CA4508"/>
    <w:rsid w:val="00CA6855"/>
    <w:rsid w:val="00CB39C9"/>
    <w:rsid w:val="00CC2602"/>
    <w:rsid w:val="00CC4589"/>
    <w:rsid w:val="00CD4087"/>
    <w:rsid w:val="00CE157D"/>
    <w:rsid w:val="00CE5360"/>
    <w:rsid w:val="00CF3022"/>
    <w:rsid w:val="00D114C2"/>
    <w:rsid w:val="00D30344"/>
    <w:rsid w:val="00D43C3A"/>
    <w:rsid w:val="00D632E4"/>
    <w:rsid w:val="00D8204D"/>
    <w:rsid w:val="00DB7C2A"/>
    <w:rsid w:val="00DC35EE"/>
    <w:rsid w:val="00E23DB4"/>
    <w:rsid w:val="00E31FDA"/>
    <w:rsid w:val="00E437D1"/>
    <w:rsid w:val="00E52883"/>
    <w:rsid w:val="00E65D69"/>
    <w:rsid w:val="00E722C9"/>
    <w:rsid w:val="00E7313A"/>
    <w:rsid w:val="00E836AF"/>
    <w:rsid w:val="00E90BC0"/>
    <w:rsid w:val="00EA2B19"/>
    <w:rsid w:val="00EB52C2"/>
    <w:rsid w:val="00EB7F7F"/>
    <w:rsid w:val="00EC26BF"/>
    <w:rsid w:val="00ED5007"/>
    <w:rsid w:val="00EE5AD7"/>
    <w:rsid w:val="00EF499B"/>
    <w:rsid w:val="00F13446"/>
    <w:rsid w:val="00F15160"/>
    <w:rsid w:val="00F26C4B"/>
    <w:rsid w:val="00F4304C"/>
    <w:rsid w:val="00F57691"/>
    <w:rsid w:val="00F71166"/>
    <w:rsid w:val="00F90C83"/>
    <w:rsid w:val="00FF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02D33740"/>
  <w15:chartTrackingRefBased/>
  <w15:docId w15:val="{BF856869-C2DA-4693-820A-44F9F36B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styltun">
    <w:name w:val="styltun"/>
    <w:rsid w:val="00086608"/>
    <w:rPr>
      <w:b/>
      <w:bCs/>
    </w:rPr>
  </w:style>
  <w:style w:type="paragraph" w:styleId="Textbubliny">
    <w:name w:val="Balloon Text"/>
    <w:basedOn w:val="Normln"/>
    <w:semiHidden/>
    <w:rsid w:val="00B8292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32212B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rsid w:val="0039257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92577"/>
  </w:style>
  <w:style w:type="character" w:styleId="Znakapoznpodarou">
    <w:name w:val="footnote reference"/>
    <w:rsid w:val="003925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0998C-DABE-415B-A827-2BE004B94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 č</vt:lpstr>
    </vt:vector>
  </TitlesOfParts>
  <Company>MMZ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 č</dc:title>
  <dc:subject/>
  <dc:creator>BJ</dc:creator>
  <cp:keywords/>
  <dc:description/>
  <cp:lastModifiedBy>Administrator</cp:lastModifiedBy>
  <cp:revision>2</cp:revision>
  <cp:lastPrinted>2024-09-11T12:11:00Z</cp:lastPrinted>
  <dcterms:created xsi:type="dcterms:W3CDTF">2024-09-11T12:22:00Z</dcterms:created>
  <dcterms:modified xsi:type="dcterms:W3CDTF">2024-09-11T12:22:00Z</dcterms:modified>
</cp:coreProperties>
</file>